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2AD8B">
      <w:pPr>
        <w:keepNext w:val="0"/>
        <w:keepLines w:val="0"/>
        <w:widowControl w:val="0"/>
        <w:suppressLineNumbers w:val="0"/>
        <w:adjustRightInd w:val="0"/>
        <w:spacing w:before="0" w:beforeAutospacing="0" w:after="0" w:afterAutospacing="0" w:line="240" w:lineRule="auto"/>
        <w:ind w:left="0" w:right="0"/>
        <w:jc w:val="both"/>
        <w:rPr>
          <w:szCs w:val="21"/>
          <w:lang w:val="en-US"/>
        </w:rPr>
      </w:pPr>
      <w:r>
        <w:rPr>
          <w:rFonts w:ascii="Arial" w:hAnsi="Arial" w:eastAsia="楷体_GB2312" w:cs="Times New Roman"/>
          <w:kern w:val="0"/>
          <w:sz w:val="32"/>
          <w:szCs w:val="21"/>
          <w:lang w:val="en-US" w:eastAsia="zh-CN" w:bidi="ar"/>
          <w14:ligatures w14:val="standardContextual"/>
        </w:rPr>
        <w:t xml:space="preserve">                                                              </w:t>
      </w:r>
    </w:p>
    <w:p w14:paraId="0F3FAE49">
      <w:pPr>
        <w:keepNext w:val="0"/>
        <w:keepLines w:val="0"/>
        <w:widowControl w:val="0"/>
        <w:suppressLineNumbers w:val="0"/>
        <w:adjustRightInd w:val="0"/>
        <w:spacing w:before="0" w:beforeAutospacing="0" w:after="0" w:afterAutospacing="0" w:line="240" w:lineRule="auto"/>
        <w:ind w:left="640" w:right="0"/>
        <w:jc w:val="both"/>
        <w:rPr>
          <w:rFonts w:hint="eastAsia" w:ascii="黑体" w:hAnsi="Arial" w:eastAsia="黑体" w:cs="黑体"/>
          <w:sz w:val="24"/>
          <w:szCs w:val="24"/>
          <w:lang w:val="en-US"/>
        </w:rPr>
      </w:pPr>
      <w:r>
        <w:rPr>
          <w:rFonts w:ascii="Arial" w:hAnsi="Arial" w:eastAsia="楷体_GB2312" w:cs="Times New Roman"/>
          <w:bCs/>
          <w:kern w:val="0"/>
          <w:sz w:val="32"/>
          <w:szCs w:val="21"/>
          <w:lang w:val="en-US" w:eastAsia="zh-CN" w:bidi="ar"/>
          <w14:ligatures w14:val="standardContextual"/>
        </w:rPr>
        <w:t xml:space="preserve">                                                  </w:t>
      </w:r>
    </w:p>
    <w:p w14:paraId="30F598DB">
      <w:pPr>
        <w:keepNext w:val="0"/>
        <w:keepLines w:val="0"/>
        <w:widowControl w:val="0"/>
        <w:suppressLineNumbers w:val="0"/>
        <w:adjustRightInd w:val="0"/>
        <w:spacing w:before="0" w:beforeAutospacing="0" w:after="0" w:afterAutospacing="0" w:line="240" w:lineRule="auto"/>
        <w:ind w:left="0" w:right="0"/>
        <w:jc w:val="center"/>
        <w:rPr>
          <w:rFonts w:hint="eastAsia" w:ascii="黑体" w:hAnsi="Arial" w:eastAsia="黑体" w:cs="黑体"/>
          <w:b/>
          <w:bCs/>
          <w:sz w:val="36"/>
          <w:szCs w:val="28"/>
          <w:lang w:val="en-US"/>
        </w:rPr>
      </w:pPr>
      <w:r>
        <w:rPr>
          <w:rFonts w:ascii="Arial" w:hAnsi="Arial" w:eastAsia="楷体_GB2312" w:cs="Times New Roman"/>
          <w:kern w:val="0"/>
          <w:sz w:val="32"/>
          <w:szCs w:val="20"/>
          <w:lang w:val="en-US" w:eastAsia="zh-CN" w:bidi="ar"/>
          <w14:ligatures w14:val="standardContextual"/>
        </w:rPr>
        <w:object>
          <v:shape id="_x0000_i1025" o:spt="75" type="#_x0000_t75" style="height:59.65pt;width:233.25pt;" o:ole="t" filled="f" o:preferrelative="t" stroked="f" coordsize="21600,21600">
            <v:path/>
            <v:fill on="f" focussize="0,0"/>
            <v:stroke on="f" joinstyle="miter"/>
            <v:imagedata r:id="rId12" o:title=""/>
            <o:lock v:ext="edit" aspectratio="t"/>
            <w10:wrap type="none"/>
            <w10:anchorlock/>
          </v:shape>
          <o:OLEObject Type="Embed" ProgID="" ShapeID="_x0000_i1025" DrawAspect="Content" ObjectID="_1468075725" r:id="rId11">
            <o:LockedField>false</o:LockedField>
          </o:OLEObject>
        </w:object>
      </w:r>
    </w:p>
    <w:p w14:paraId="2860C9A4">
      <w:pPr>
        <w:keepNext w:val="0"/>
        <w:keepLines w:val="0"/>
        <w:widowControl w:val="0"/>
        <w:suppressLineNumbers w:val="0"/>
        <w:adjustRightInd w:val="0"/>
        <w:spacing w:before="0" w:beforeAutospacing="0" w:after="0" w:afterAutospacing="0" w:line="240" w:lineRule="auto"/>
        <w:ind w:left="0" w:right="0"/>
        <w:jc w:val="center"/>
        <w:rPr>
          <w:rFonts w:hint="eastAsia" w:ascii="黑体" w:hAnsi="Arial" w:eastAsia="黑体" w:cs="黑体"/>
          <w:b/>
          <w:bCs/>
          <w:sz w:val="36"/>
          <w:szCs w:val="28"/>
          <w:lang w:val="en-US"/>
        </w:rPr>
      </w:pPr>
    </w:p>
    <w:p w14:paraId="7225FAD6">
      <w:pPr>
        <w:keepNext w:val="0"/>
        <w:keepLines w:val="0"/>
        <w:widowControl w:val="0"/>
        <w:suppressLineNumbers w:val="0"/>
        <w:adjustRightInd w:val="0"/>
        <w:spacing w:before="0" w:beforeAutospacing="0" w:after="0" w:afterAutospacing="0" w:line="240" w:lineRule="auto"/>
        <w:ind w:left="0" w:right="0"/>
        <w:jc w:val="center"/>
        <w:rPr>
          <w:rFonts w:hint="eastAsia" w:ascii="黑体" w:hAnsi="Arial" w:eastAsia="黑体" w:cs="黑体"/>
          <w:sz w:val="30"/>
          <w:szCs w:val="28"/>
          <w:lang w:val="en-US"/>
        </w:rPr>
      </w:pPr>
      <w:r>
        <w:rPr>
          <w:rFonts w:hint="eastAsia" w:ascii="黑体" w:hAnsi="Arial" w:eastAsia="黑体" w:cs="黑体"/>
          <w:sz w:val="30"/>
          <w:szCs w:val="28"/>
          <w:lang w:val="en-US" w:eastAsia="zh-CN"/>
        </w:rPr>
        <w:drawing>
          <wp:anchor distT="0" distB="0" distL="114300" distR="114300" simplePos="0" relativeHeight="251659264" behindDoc="1" locked="0" layoutInCell="1" allowOverlap="1">
            <wp:simplePos x="0" y="0"/>
            <wp:positionH relativeFrom="column">
              <wp:posOffset>62230</wp:posOffset>
            </wp:positionH>
            <wp:positionV relativeFrom="page">
              <wp:posOffset>3356610</wp:posOffset>
            </wp:positionV>
            <wp:extent cx="5149850" cy="5427345"/>
            <wp:effectExtent l="0" t="0" r="3175" b="1905"/>
            <wp:wrapNone/>
            <wp:docPr id="3" name="图片 3" descr="屏幕截图 2025-05-27 16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屏幕截图 2025-05-27 165021"/>
                    <pic:cNvPicPr>
                      <a:picLocks noChangeAspect="1"/>
                    </pic:cNvPicPr>
                  </pic:nvPicPr>
                  <pic:blipFill>
                    <a:blip r:embed="rId13"/>
                    <a:srcRect l="9837" r="13189"/>
                    <a:stretch>
                      <a:fillRect/>
                    </a:stretch>
                  </pic:blipFill>
                  <pic:spPr>
                    <a:xfrm>
                      <a:off x="0" y="0"/>
                      <a:ext cx="5149850" cy="5427345"/>
                    </a:xfrm>
                    <a:prstGeom prst="rect">
                      <a:avLst/>
                    </a:prstGeom>
                  </pic:spPr>
                </pic:pic>
              </a:graphicData>
            </a:graphic>
          </wp:anchor>
        </w:drawing>
      </w:r>
      <w:r>
        <w:rPr>
          <w:rFonts w:hint="eastAsia" w:ascii="黑体" w:hAnsi="Arial" w:eastAsia="黑体" w:cs="黑体"/>
          <w:b/>
          <w:bCs/>
          <w:kern w:val="0"/>
          <w:sz w:val="48"/>
          <w:szCs w:val="48"/>
          <w:lang w:val="en-US" w:eastAsia="zh-CN" w:bidi="ar"/>
          <w14:ligatures w14:val="standardContextual"/>
        </w:rPr>
        <w:t>创新实践课程研究论文</w:t>
      </w:r>
    </w:p>
    <w:p w14:paraId="0FE21BE4">
      <w:pPr>
        <w:keepNext w:val="0"/>
        <w:keepLines w:val="0"/>
        <w:widowControl w:val="0"/>
        <w:suppressLineNumbers w:val="0"/>
        <w:tabs>
          <w:tab w:val="left" w:pos="3414"/>
        </w:tabs>
        <w:adjustRightInd w:val="0"/>
        <w:spacing w:before="0" w:beforeAutospacing="0" w:after="0" w:afterAutospacing="0" w:line="240" w:lineRule="auto"/>
        <w:ind w:left="0" w:right="0"/>
        <w:jc w:val="both"/>
        <w:rPr>
          <w:rFonts w:hint="eastAsia" w:ascii="黑体" w:hAnsi="Arial" w:eastAsia="黑体" w:cs="黑体"/>
          <w:sz w:val="30"/>
          <w:szCs w:val="28"/>
          <w:lang w:val="en-US" w:eastAsia="zh-CN"/>
        </w:rPr>
      </w:pPr>
      <w:r>
        <w:rPr>
          <w:rFonts w:hint="eastAsia" w:ascii="黑体" w:hAnsi="Arial" w:eastAsia="黑体" w:cs="黑体"/>
          <w:sz w:val="30"/>
          <w:szCs w:val="28"/>
          <w:lang w:val="en-US" w:eastAsia="zh-CN"/>
        </w:rPr>
        <w:tab/>
      </w:r>
      <w:r>
        <w:rPr>
          <w:rFonts w:hint="eastAsia" w:ascii="黑体" w:hAnsi="Arial" w:eastAsia="黑体" w:cs="黑体"/>
          <w:sz w:val="30"/>
          <w:szCs w:val="28"/>
          <w:lang w:val="en-US" w:eastAsia="zh-CN"/>
        </w:rPr>
        <w:t xml:space="preserve">     </w:t>
      </w:r>
    </w:p>
    <w:p w14:paraId="29E83FA6">
      <w:pPr>
        <w:keepNext w:val="0"/>
        <w:keepLines w:val="0"/>
        <w:widowControl w:val="0"/>
        <w:suppressLineNumbers w:val="0"/>
        <w:adjustRightInd w:val="0"/>
        <w:spacing w:before="0" w:beforeAutospacing="0" w:after="0" w:afterAutospacing="0" w:line="240" w:lineRule="auto"/>
        <w:ind w:left="1259" w:right="0" w:firstLine="1"/>
        <w:jc w:val="both"/>
        <w:rPr>
          <w:b/>
          <w:bCs/>
          <w:sz w:val="28"/>
          <w:szCs w:val="21"/>
          <w:lang w:val="en-US"/>
        </w:rPr>
      </w:pPr>
    </w:p>
    <w:p w14:paraId="11B9E3B1">
      <w:pPr>
        <w:keepNext w:val="0"/>
        <w:keepLines w:val="0"/>
        <w:widowControl w:val="0"/>
        <w:suppressLineNumbers w:val="0"/>
        <w:adjustRightInd w:val="0"/>
        <w:spacing w:before="0" w:beforeAutospacing="0" w:after="0" w:afterAutospacing="0" w:line="240" w:lineRule="auto"/>
        <w:ind w:left="1259" w:right="0" w:firstLine="1"/>
        <w:jc w:val="both"/>
        <w:rPr>
          <w:b/>
          <w:bCs/>
          <w:sz w:val="28"/>
          <w:szCs w:val="21"/>
          <w:lang w:val="en-US"/>
        </w:rPr>
      </w:pPr>
    </w:p>
    <w:p w14:paraId="64DE2032">
      <w:pPr>
        <w:keepNext w:val="0"/>
        <w:keepLines w:val="0"/>
        <w:widowControl w:val="0"/>
        <w:suppressLineNumbers w:val="0"/>
        <w:adjustRightInd w:val="0"/>
        <w:spacing w:before="0" w:beforeAutospacing="0" w:after="0" w:afterAutospacing="0" w:line="240" w:lineRule="auto"/>
        <w:ind w:right="0"/>
        <w:jc w:val="both"/>
        <w:rPr>
          <w:rFonts w:hint="eastAsia" w:ascii="楷体" w:hAnsi="楷体" w:eastAsia="楷体" w:cs="楷体"/>
          <w:b/>
          <w:bCs/>
          <w:kern w:val="0"/>
          <w:sz w:val="28"/>
          <w:szCs w:val="28"/>
          <w:lang w:val="en-US" w:eastAsia="zh-CN" w:bidi="ar"/>
          <w14:ligatures w14:val="standardContextual"/>
        </w:rPr>
      </w:pPr>
    </w:p>
    <w:p w14:paraId="162CA9F4">
      <w:pPr>
        <w:keepNext w:val="0"/>
        <w:keepLines w:val="0"/>
        <w:widowControl w:val="0"/>
        <w:suppressLineNumbers w:val="0"/>
        <w:adjustRightInd w:val="0"/>
        <w:spacing w:before="0" w:beforeAutospacing="0" w:after="0" w:afterAutospacing="0" w:line="240" w:lineRule="auto"/>
        <w:ind w:left="0" w:right="0" w:firstLine="562" w:firstLineChars="200"/>
        <w:jc w:val="center"/>
        <w:rPr>
          <w:rFonts w:hint="eastAsia" w:ascii="楷体" w:hAnsi="楷体" w:eastAsia="楷体" w:cs="楷体"/>
          <w:b/>
          <w:bCs/>
          <w:kern w:val="0"/>
          <w:sz w:val="28"/>
          <w:szCs w:val="28"/>
          <w:lang w:val="en-US" w:eastAsia="zh-CN" w:bidi="ar"/>
          <w14:ligatures w14:val="standardContextual"/>
        </w:rPr>
      </w:pPr>
      <w:r>
        <w:rPr>
          <w:rFonts w:hint="eastAsia" w:ascii="楷体" w:hAnsi="楷体" w:eastAsia="楷体" w:cs="楷体"/>
          <w:b/>
          <w:bCs/>
          <w:kern w:val="0"/>
          <w:sz w:val="28"/>
          <w:szCs w:val="28"/>
          <w:lang w:val="en-US" w:eastAsia="zh-CN" w:bidi="ar"/>
          <w14:ligatures w14:val="standardContextual"/>
        </w:rPr>
        <w:t>项目名称（论文题目）：</w:t>
      </w:r>
    </w:p>
    <w:p w14:paraId="64A40B6F">
      <w:pPr>
        <w:keepNext w:val="0"/>
        <w:keepLines w:val="0"/>
        <w:widowControl w:val="0"/>
        <w:suppressLineNumbers w:val="0"/>
        <w:adjustRightInd w:val="0"/>
        <w:spacing w:before="0" w:beforeAutospacing="0" w:after="0" w:afterAutospacing="0" w:line="240" w:lineRule="auto"/>
        <w:ind w:left="0" w:right="0" w:firstLine="562" w:firstLineChars="200"/>
        <w:jc w:val="center"/>
        <w:rPr>
          <w:rFonts w:hint="eastAsia" w:ascii="楷体" w:hAnsi="楷体" w:eastAsia="楷体" w:cs="楷体"/>
          <w:b/>
          <w:bCs/>
          <w:sz w:val="28"/>
          <w:szCs w:val="28"/>
          <w:u w:val="single"/>
          <w:lang w:val="en-US"/>
        </w:rPr>
      </w:pPr>
      <w:r>
        <w:rPr>
          <w:rFonts w:hint="eastAsia" w:ascii="楷体" w:hAnsi="楷体" w:eastAsia="楷体" w:cs="楷体"/>
          <w:b/>
          <w:bCs/>
          <w:kern w:val="0"/>
          <w:sz w:val="28"/>
          <w:szCs w:val="28"/>
          <w:u w:val="single"/>
          <w:lang w:val="en-US" w:eastAsia="zh-CN" w:bidi="ar"/>
          <w14:ligatures w14:val="standardContextual"/>
        </w:rPr>
        <w:t>_声场条件下汉语声调语音语调感知研究_</w:t>
      </w:r>
    </w:p>
    <w:p w14:paraId="205ECA4A">
      <w:pPr>
        <w:keepNext w:val="0"/>
        <w:keepLines w:val="0"/>
        <w:widowControl w:val="0"/>
        <w:suppressLineNumbers w:val="0"/>
        <w:adjustRightInd w:val="0"/>
        <w:spacing w:before="0" w:beforeAutospacing="0" w:after="0" w:afterAutospacing="0" w:line="240" w:lineRule="auto"/>
        <w:ind w:left="0" w:right="0"/>
        <w:jc w:val="center"/>
        <w:rPr>
          <w:rFonts w:hint="eastAsia" w:ascii="楷体" w:hAnsi="楷体" w:eastAsia="楷体" w:cs="楷体"/>
          <w:b/>
          <w:bCs/>
          <w:sz w:val="28"/>
          <w:szCs w:val="28"/>
          <w:lang w:val="en-US"/>
        </w:rPr>
      </w:pPr>
    </w:p>
    <w:p w14:paraId="7BA008D6">
      <w:pPr>
        <w:keepNext w:val="0"/>
        <w:keepLines w:val="0"/>
        <w:widowControl w:val="0"/>
        <w:suppressLineNumbers w:val="0"/>
        <w:adjustRightInd w:val="0"/>
        <w:spacing w:before="0" w:beforeAutospacing="0" w:after="0" w:afterAutospacing="0" w:line="240" w:lineRule="auto"/>
        <w:ind w:left="0" w:right="0" w:firstLine="540"/>
        <w:jc w:val="center"/>
        <w:rPr>
          <w:rFonts w:hint="eastAsia" w:ascii="楷体" w:hAnsi="楷体" w:eastAsia="楷体" w:cs="楷体"/>
          <w:b/>
          <w:bCs/>
          <w:sz w:val="28"/>
          <w:szCs w:val="28"/>
          <w:lang w:val="en-US"/>
        </w:rPr>
      </w:pPr>
      <w:r>
        <w:rPr>
          <w:rFonts w:hint="eastAsia" w:ascii="楷体" w:hAnsi="楷体" w:eastAsia="楷体" w:cs="楷体"/>
          <w:b/>
          <w:bCs/>
          <w:kern w:val="0"/>
          <w:sz w:val="28"/>
          <w:szCs w:val="28"/>
          <w:lang w:val="en-US" w:eastAsia="zh-CN" w:bidi="ar"/>
          <w14:ligatures w14:val="standardContextual"/>
        </w:rPr>
        <w:t>学生姓名：</w:t>
      </w:r>
      <w:r>
        <w:rPr>
          <w:rFonts w:hint="eastAsia" w:ascii="楷体" w:hAnsi="楷体" w:eastAsia="楷体" w:cs="楷体"/>
          <w:b/>
          <w:bCs/>
          <w:kern w:val="0"/>
          <w:sz w:val="28"/>
          <w:szCs w:val="28"/>
          <w:u w:val="single"/>
          <w:lang w:val="en-US" w:eastAsia="zh-CN" w:bidi="ar"/>
          <w14:ligatures w14:val="standardContextual"/>
        </w:rPr>
        <w:t>_陈星语_</w:t>
      </w:r>
    </w:p>
    <w:p w14:paraId="5D5C8A3B">
      <w:pPr>
        <w:keepNext w:val="0"/>
        <w:keepLines w:val="0"/>
        <w:widowControl w:val="0"/>
        <w:suppressLineNumbers w:val="0"/>
        <w:adjustRightInd w:val="0"/>
        <w:spacing w:before="0" w:beforeAutospacing="0" w:after="0" w:afterAutospacing="0" w:line="240" w:lineRule="auto"/>
        <w:ind w:left="0" w:right="0" w:firstLine="540"/>
        <w:jc w:val="center"/>
        <w:rPr>
          <w:rFonts w:hint="eastAsia" w:ascii="楷体" w:hAnsi="楷体" w:eastAsia="楷体" w:cs="楷体"/>
          <w:b/>
          <w:bCs/>
          <w:sz w:val="28"/>
          <w:szCs w:val="28"/>
          <w:lang w:val="en-US"/>
        </w:rPr>
      </w:pPr>
      <w:r>
        <w:rPr>
          <w:rFonts w:hint="eastAsia" w:ascii="楷体" w:hAnsi="楷体" w:eastAsia="楷体" w:cs="楷体"/>
          <w:b/>
          <w:bCs/>
          <w:kern w:val="0"/>
          <w:sz w:val="28"/>
          <w:szCs w:val="28"/>
          <w:lang w:val="en-US" w:eastAsia="zh-CN" w:bidi="ar"/>
          <w14:ligatures w14:val="standardContextual"/>
        </w:rPr>
        <w:t xml:space="preserve">学院（系）： </w:t>
      </w:r>
      <w:r>
        <w:rPr>
          <w:rFonts w:hint="eastAsia" w:ascii="楷体" w:hAnsi="楷体" w:eastAsia="楷体" w:cs="楷体"/>
          <w:b/>
          <w:bCs/>
          <w:kern w:val="0"/>
          <w:sz w:val="28"/>
          <w:szCs w:val="28"/>
          <w:u w:val="single"/>
          <w:lang w:val="en-US" w:eastAsia="zh-CN" w:bidi="ar"/>
          <w14:ligatures w14:val="standardContextual"/>
        </w:rPr>
        <w:t>_外国语学院（英语系）_</w:t>
      </w:r>
    </w:p>
    <w:p w14:paraId="13846F7B">
      <w:pPr>
        <w:keepNext w:val="0"/>
        <w:keepLines w:val="0"/>
        <w:widowControl w:val="0"/>
        <w:suppressLineNumbers w:val="0"/>
        <w:adjustRightInd w:val="0"/>
        <w:spacing w:before="0" w:beforeAutospacing="0" w:after="0" w:afterAutospacing="0" w:line="240" w:lineRule="auto"/>
        <w:ind w:left="0" w:right="0" w:firstLine="540"/>
        <w:jc w:val="both"/>
        <w:rPr>
          <w:b/>
          <w:bCs/>
          <w:sz w:val="28"/>
          <w:szCs w:val="28"/>
          <w:lang w:val="en-US"/>
        </w:rPr>
      </w:pPr>
    </w:p>
    <w:p w14:paraId="35B73AE1">
      <w:pPr>
        <w:keepNext w:val="0"/>
        <w:keepLines w:val="0"/>
        <w:widowControl w:val="0"/>
        <w:suppressLineNumbers w:val="0"/>
        <w:adjustRightInd w:val="0"/>
        <w:spacing w:before="0" w:beforeAutospacing="0" w:after="0" w:afterAutospacing="0" w:line="240" w:lineRule="auto"/>
        <w:ind w:left="1259" w:right="0"/>
        <w:jc w:val="both"/>
        <w:rPr>
          <w:szCs w:val="21"/>
          <w:lang w:val="en-US"/>
        </w:rPr>
      </w:pPr>
    </w:p>
    <w:p w14:paraId="5161AF0D">
      <w:pPr>
        <w:keepNext w:val="0"/>
        <w:keepLines w:val="0"/>
        <w:widowControl w:val="0"/>
        <w:suppressLineNumbers w:val="0"/>
        <w:adjustRightInd w:val="0"/>
        <w:spacing w:before="0" w:beforeAutospacing="0" w:after="0" w:afterAutospacing="0" w:line="240" w:lineRule="auto"/>
        <w:ind w:left="1259" w:right="0"/>
        <w:jc w:val="both"/>
        <w:rPr>
          <w:szCs w:val="21"/>
          <w:lang w:val="en-US"/>
        </w:rPr>
      </w:pPr>
    </w:p>
    <w:p w14:paraId="2E14A83F">
      <w:pPr>
        <w:keepNext w:val="0"/>
        <w:keepLines w:val="0"/>
        <w:widowControl w:val="0"/>
        <w:suppressLineNumbers w:val="0"/>
        <w:adjustRightInd w:val="0"/>
        <w:spacing w:before="0" w:beforeAutospacing="0" w:after="0" w:afterAutospacing="0" w:line="240" w:lineRule="auto"/>
        <w:ind w:left="1259" w:right="0"/>
        <w:jc w:val="both"/>
        <w:rPr>
          <w:szCs w:val="21"/>
          <w:lang w:val="en-US"/>
        </w:rPr>
      </w:pPr>
    </w:p>
    <w:p w14:paraId="0F029592">
      <w:pPr>
        <w:keepNext w:val="0"/>
        <w:keepLines w:val="0"/>
        <w:widowControl w:val="0"/>
        <w:suppressLineNumbers w:val="0"/>
        <w:adjustRightInd w:val="0"/>
        <w:spacing w:before="0" w:beforeAutospacing="0" w:after="0" w:afterAutospacing="0" w:line="240" w:lineRule="auto"/>
        <w:ind w:left="1259" w:right="0"/>
        <w:jc w:val="both"/>
        <w:rPr>
          <w:szCs w:val="21"/>
          <w:lang w:val="en-US"/>
        </w:rPr>
      </w:pPr>
    </w:p>
    <w:p w14:paraId="5CCA8AB8">
      <w:pPr>
        <w:spacing w:line="240" w:lineRule="auto"/>
        <w:jc w:val="center"/>
        <w:rPr>
          <w:rFonts w:hint="eastAsia" w:ascii="黑体" w:hAnsi="黑体" w:eastAsia="黑体"/>
          <w:snapToGrid w:val="0"/>
          <w:kern w:val="0"/>
          <w:sz w:val="32"/>
        </w:rPr>
      </w:pPr>
    </w:p>
    <w:p w14:paraId="4D38A893">
      <w:pPr>
        <w:spacing w:line="240" w:lineRule="auto"/>
        <w:jc w:val="center"/>
        <w:rPr>
          <w:rFonts w:hint="eastAsia" w:ascii="黑体" w:hAnsi="黑体" w:eastAsia="黑体"/>
          <w:snapToGrid w:val="0"/>
          <w:kern w:val="0"/>
          <w:sz w:val="32"/>
        </w:rPr>
      </w:pPr>
    </w:p>
    <w:p w14:paraId="61EB9C2F">
      <w:pPr>
        <w:spacing w:line="240" w:lineRule="auto"/>
        <w:jc w:val="both"/>
        <w:rPr>
          <w:rFonts w:hint="eastAsia" w:ascii="黑体" w:hAnsi="黑体" w:eastAsia="黑体"/>
          <w:snapToGrid w:val="0"/>
          <w:kern w:val="0"/>
          <w:sz w:val="32"/>
        </w:rPr>
      </w:pPr>
    </w:p>
    <w:p w14:paraId="1C340E27">
      <w:pPr>
        <w:spacing w:line="240" w:lineRule="auto"/>
        <w:jc w:val="center"/>
        <w:rPr>
          <w:rFonts w:hint="eastAsia" w:ascii="黑体" w:hAnsi="黑体" w:eastAsia="黑体"/>
          <w:snapToGrid w:val="0"/>
          <w:kern w:val="0"/>
          <w:sz w:val="32"/>
        </w:rPr>
      </w:pPr>
      <w:r>
        <w:rPr>
          <w:rFonts w:hint="eastAsia" w:ascii="黑体" w:hAnsi="黑体" w:eastAsia="黑体"/>
          <w:snapToGrid w:val="0"/>
          <w:kern w:val="0"/>
          <w:sz w:val="32"/>
        </w:rPr>
        <w:t>声场条件下汉语声调语音语调感知研究</w:t>
      </w:r>
    </w:p>
    <w:p w14:paraId="1B1D240A">
      <w:pPr>
        <w:spacing w:line="240" w:lineRule="auto"/>
        <w:jc w:val="center"/>
        <w:rPr>
          <w:rFonts w:hint="eastAsia" w:ascii="黑体" w:hAnsi="黑体" w:eastAsia="黑体"/>
          <w:snapToGrid w:val="0"/>
          <w:kern w:val="0"/>
          <w:sz w:val="32"/>
        </w:rPr>
      </w:pPr>
    </w:p>
    <w:p w14:paraId="36115833">
      <w:pPr>
        <w:spacing w:line="240" w:lineRule="auto"/>
        <w:jc w:val="center"/>
        <w:rPr>
          <w:rFonts w:hint="eastAsia" w:ascii="楷体" w:hAnsi="楷体" w:eastAsia="楷体"/>
          <w:snapToGrid w:val="0"/>
          <w:kern w:val="0"/>
          <w:sz w:val="24"/>
          <w:lang w:eastAsia="zh-CN"/>
        </w:rPr>
      </w:pPr>
      <w:r>
        <w:rPr>
          <w:rFonts w:hint="eastAsia" w:ascii="楷体" w:hAnsi="楷体" w:eastAsia="楷体"/>
          <w:snapToGrid w:val="0"/>
          <w:kern w:val="0"/>
          <w:sz w:val="24"/>
        </w:rPr>
        <w:t xml:space="preserve">参与学生：外国语学院 陈星语 </w:t>
      </w:r>
    </w:p>
    <w:p w14:paraId="3DA4831E">
      <w:pPr>
        <w:spacing w:line="240" w:lineRule="auto"/>
        <w:jc w:val="center"/>
        <w:rPr>
          <w:rFonts w:hint="eastAsia" w:ascii="楷体" w:hAnsi="楷体" w:eastAsia="楷体"/>
          <w:snapToGrid w:val="0"/>
          <w:kern w:val="0"/>
          <w:sz w:val="24"/>
        </w:rPr>
      </w:pPr>
      <w:r>
        <w:rPr>
          <w:rFonts w:hint="eastAsia" w:ascii="楷体" w:hAnsi="楷体" w:eastAsia="楷体"/>
          <w:snapToGrid w:val="0"/>
          <w:kern w:val="0"/>
          <w:sz w:val="24"/>
        </w:rPr>
        <w:t>指导教师：外国语学院 汪玉霞</w:t>
      </w:r>
    </w:p>
    <w:p w14:paraId="18DCEA1B">
      <w:pPr>
        <w:spacing w:line="240" w:lineRule="auto"/>
        <w:jc w:val="center"/>
        <w:rPr>
          <w:rFonts w:hint="eastAsia" w:ascii="楷体" w:hAnsi="楷体" w:eastAsia="楷体"/>
          <w:sz w:val="24"/>
        </w:rPr>
      </w:pPr>
      <w:r>
        <w:rPr>
          <w:rFonts w:hint="eastAsia" w:ascii="楷体" w:hAnsi="楷体" w:eastAsia="楷体"/>
          <w:snapToGrid w:val="0"/>
          <w:kern w:val="0"/>
          <w:sz w:val="24"/>
        </w:rPr>
        <w:t xml:space="preserve"> </w:t>
      </w:r>
    </w:p>
    <w:p w14:paraId="6F5CC9A2">
      <w:pPr>
        <w:spacing w:line="240" w:lineRule="auto"/>
        <w:jc w:val="center"/>
        <w:rPr>
          <w:rFonts w:hint="eastAsia" w:ascii="黑体" w:hAnsi="黑体" w:eastAsia="黑体"/>
          <w:sz w:val="28"/>
          <w:szCs w:val="28"/>
        </w:rPr>
      </w:pPr>
      <w:r>
        <w:rPr>
          <w:rFonts w:hint="eastAsia" w:ascii="黑体" w:hAnsi="黑体" w:eastAsia="黑体"/>
          <w:sz w:val="28"/>
          <w:szCs w:val="28"/>
        </w:rPr>
        <w:t>摘要</w:t>
      </w:r>
    </w:p>
    <w:p w14:paraId="19AF0BC7">
      <w:pPr>
        <w:spacing w:line="240" w:lineRule="auto"/>
        <w:ind w:firstLine="420"/>
        <w:rPr>
          <w:rFonts w:hint="eastAsia" w:ascii="宋体" w:hAnsi="宋体" w:eastAsia="宋体"/>
          <w:sz w:val="21"/>
          <w:szCs w:val="21"/>
        </w:rPr>
      </w:pPr>
      <w:bookmarkStart w:id="0" w:name="OLE_LINK1"/>
      <w:bookmarkStart w:id="1" w:name="OLE_LINK12"/>
      <w:r>
        <w:rPr>
          <w:rFonts w:hint="eastAsia" w:ascii="宋体" w:hAnsi="宋体" w:eastAsia="宋体"/>
          <w:sz w:val="21"/>
          <w:szCs w:val="21"/>
        </w:rPr>
        <w:t>汉语作为一门声调语言，对于研究言语感知中的声调感知范畴理论研究存在重要意义。现阶段汉语声调感知研究多聚焦于单一噪声对于汉语声调感知的影响，但本文引入真实声场的噪音质量，探讨不同SNR的噪音条件下，声场噪音空间分离对于汉语声调感知范畴的影响。本文采取实验研究法，自行生成不同汉语声调实验音频和搭建声调感知测试系统，对20例年龄17-23岁，母语为汉语普通话的听力正常人进行四种信噪比（SNR）下两种噪音方位和安静条件下的9组汉语声调感知测试，采用线性回归模型对所得数据进行统计分析。实验结果显示真实声场中安静条件和噪音条件下汉语声调感知存在显著差异。同时，在单一方位和分散方位的声场噪音环境下，不同信噪比</w:t>
      </w:r>
      <w:r>
        <w:rPr>
          <w:rFonts w:hint="eastAsia" w:ascii="宋体" w:hAnsi="宋体" w:eastAsia="宋体"/>
          <w:sz w:val="21"/>
          <w:szCs w:val="21"/>
          <w:lang w:eastAsia="zh-CN"/>
        </w:rPr>
        <w:t>（</w:t>
      </w:r>
      <w:r>
        <w:rPr>
          <w:rFonts w:hint="eastAsia" w:ascii="宋体" w:hAnsi="宋体" w:eastAsia="宋体"/>
          <w:sz w:val="21"/>
          <w:szCs w:val="21"/>
        </w:rPr>
        <w:t>Signal to Interference plus Noise Ratio，以下简称SNR）之间呈现的声调感知能力差距相似，也反映了声场噪音空间方位对声调感知影响不大。本文构建了更真实，更多样的噪音条件，为噪音对汉语声调感知的遮蔽作用提供了多元实证。</w:t>
      </w:r>
    </w:p>
    <w:bookmarkEnd w:id="0"/>
    <w:p w14:paraId="3E3C7166">
      <w:pPr>
        <w:spacing w:line="240" w:lineRule="auto"/>
        <w:rPr>
          <w:rFonts w:hint="eastAsia" w:ascii="宋体" w:hAnsi="宋体" w:eastAsia="宋体"/>
          <w:sz w:val="21"/>
          <w:szCs w:val="21"/>
        </w:rPr>
      </w:pPr>
      <w:r>
        <w:rPr>
          <w:rFonts w:hint="eastAsia" w:ascii="黑体" w:hAnsi="黑体" w:eastAsia="黑体"/>
          <w:sz w:val="24"/>
        </w:rPr>
        <w:t>关键词：</w:t>
      </w:r>
      <w:r>
        <w:rPr>
          <w:rFonts w:hint="eastAsia" w:ascii="宋体" w:hAnsi="宋体" w:eastAsia="宋体"/>
          <w:sz w:val="21"/>
          <w:szCs w:val="21"/>
        </w:rPr>
        <w:t>范畴感知，汉语声调感知，噪音，真实声场</w:t>
      </w:r>
      <w:bookmarkEnd w:id="1"/>
    </w:p>
    <w:p w14:paraId="0EB912C3">
      <w:pPr>
        <w:spacing w:line="240" w:lineRule="auto"/>
        <w:rPr>
          <w:rFonts w:hint="eastAsia"/>
        </w:rPr>
      </w:pPr>
    </w:p>
    <w:p w14:paraId="20F7C05B">
      <w:pPr>
        <w:spacing w:line="240" w:lineRule="auto"/>
        <w:jc w:val="center"/>
        <w:rPr>
          <w:rFonts w:ascii="Times New Roman" w:hAnsi="Times New Roman" w:cs="Times New Roman"/>
          <w:sz w:val="28"/>
          <w:szCs w:val="28"/>
        </w:rPr>
      </w:pPr>
      <w:r>
        <w:rPr>
          <w:rFonts w:ascii="Times New Roman" w:hAnsi="Times New Roman" w:cs="Times New Roman"/>
          <w:sz w:val="28"/>
          <w:szCs w:val="28"/>
        </w:rPr>
        <w:t>ABSTRACT</w:t>
      </w:r>
    </w:p>
    <w:p w14:paraId="16092A4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cs="Times New Roman"/>
          <w:sz w:val="21"/>
          <w:szCs w:val="21"/>
        </w:rPr>
      </w:pPr>
      <w:r>
        <w:rPr>
          <w:rFonts w:hint="eastAsia" w:ascii="Times New Roman" w:hAnsi="Times New Roman" w:cs="Times New Roman"/>
          <w:sz w:val="21"/>
          <w:szCs w:val="21"/>
        </w:rPr>
        <w:t>As a tonal language, Chinese holds significant importance for the theoretical study of tonal perception in speech perception. Current research on Chinese tonal perception primarily focuses on the impact of single-noise conditions on tonal perception. However, this paper introduces the noise quality of real sound fields to explore the influence of spatially separated sound field noise on the categorical perception of Chinese tones under different signal-to-noise ratio (SNR) conditions. This study adopts an experimental research approach, independently generating experimental audio samples of different Chinese tones and constructing a tonal perception testing system. Twenty participants aged 17–23, with normal hearing and native Mandarin proficiency, were tested under nine tonal perception conditions, including two noise spatial configurations and</w:t>
      </w:r>
      <w:r>
        <w:rPr>
          <w:rFonts w:hint="eastAsia" w:ascii="Times New Roman" w:hAnsi="Times New Roman" w:cs="Times New Roman"/>
          <w:sz w:val="21"/>
          <w:szCs w:val="21"/>
          <w:lang w:val="en-US" w:eastAsia="zh-CN"/>
        </w:rPr>
        <w:t xml:space="preserve"> </w:t>
      </w:r>
      <w:r>
        <w:rPr>
          <w:rFonts w:hint="eastAsia" w:ascii="Times New Roman" w:hAnsi="Times New Roman" w:cs="Times New Roman"/>
          <w:sz w:val="21"/>
          <w:szCs w:val="21"/>
        </w:rPr>
        <w:t>a quiet condition across four SNR levels. A linear regression model was employed for statistical analysis of the collected data. The experimental results reveal significant differences in Chinese tonal perception between quiet conditions and noise conditions in real sound fields. Additionally, under both single-source and spatially distributed noise conditions, the disparities in tonal perception across different SNRs were similar, suggesting that the spatial distribution of noise has minimal impact on tonal perception. By constructing more realistic and diverse noise conditions, this study provides multifaceted empirical evidence for the masking effects of noise on Chinese tonal perception.</w:t>
      </w:r>
    </w:p>
    <w:p w14:paraId="27C55204">
      <w:pPr>
        <w:spacing w:line="240" w:lineRule="auto"/>
        <w:rPr>
          <w:rFonts w:hint="eastAsia"/>
        </w:rPr>
      </w:pPr>
      <w:r>
        <w:rPr>
          <w:rFonts w:ascii="Times New Roman" w:hAnsi="Times New Roman" w:cs="Times New Roman"/>
          <w:b/>
          <w:bCs/>
          <w:sz w:val="24"/>
        </w:rPr>
        <w:t>K</w:t>
      </w:r>
      <w:r>
        <w:rPr>
          <w:rFonts w:hint="eastAsia" w:ascii="Times New Roman" w:hAnsi="Times New Roman" w:cs="Times New Roman"/>
          <w:b/>
          <w:bCs/>
          <w:sz w:val="24"/>
        </w:rPr>
        <w:t>EY WORDS</w:t>
      </w:r>
      <w:r>
        <w:rPr>
          <w:rFonts w:ascii="Times New Roman" w:hAnsi="Times New Roman" w:cs="Times New Roman"/>
          <w:b/>
          <w:bCs/>
          <w:sz w:val="24"/>
        </w:rPr>
        <w:t>:</w:t>
      </w:r>
      <w:r>
        <w:rPr>
          <w:rFonts w:ascii="Times New Roman" w:hAnsi="Times New Roman" w:cs="Times New Roman"/>
        </w:rPr>
        <w:t xml:space="preserve"> </w:t>
      </w:r>
      <w:r>
        <w:rPr>
          <w:rFonts w:ascii="Times New Roman" w:hAnsi="Times New Roman" w:cs="Times New Roman"/>
          <w:sz w:val="21"/>
          <w:szCs w:val="21"/>
        </w:rPr>
        <w:t>Categorical perception, Mandarin tone perception, noise, real sound field</w:t>
      </w:r>
    </w:p>
    <w:p w14:paraId="09568377">
      <w:pPr>
        <w:spacing w:line="240" w:lineRule="auto"/>
        <w:rPr>
          <w:rFonts w:hint="eastAsia"/>
        </w:rPr>
      </w:pPr>
    </w:p>
    <w:p w14:paraId="04B2ABF0">
      <w:pPr>
        <w:spacing w:before="156" w:beforeLines="50" w:after="120" w:line="240" w:lineRule="auto"/>
        <w:ind w:firstLine="480" w:firstLineChars="200"/>
        <w:rPr>
          <w:rFonts w:hint="eastAsia"/>
        </w:rPr>
      </w:pPr>
      <w:r>
        <w:rPr>
          <w:rFonts w:hint="eastAsia" w:ascii="黑体" w:hAnsi="黑体" w:eastAsia="黑体"/>
          <w:sz w:val="24"/>
        </w:rPr>
        <w:t>1. 绪论</w:t>
      </w:r>
    </w:p>
    <w:p w14:paraId="6776A1C1">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声调——汉语普通话最重要的信息。随着汉语语音识别技术的进一步发展，声调识别研究成为汉语语音识别技术突破的主要方向。汉语作为一门声调语言，其中蕴含的四种声调也是一种重要且极具研究价值的超音段特征。《汉语口语语法》中第一次指出汉语中的四种声调与不同基频（F0）变化相关联。本书更是由此指出了汉语声调是存在范畴感知的</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{"citationID":"fetWd7To","properties":{"formattedCitation":"[2]","plainCitation":"[2]","noteIndex":0},"citationItems":[{"id":792,"uris":["http://zotero.org/users/14768194/items/9HD6V843"],"itemData":{"id":792,"type":"article-newspaper","title":"Chao, Y. R. (1968). A grammar of spoken Chinese. University of California Press."}}],"schema":"https://github.com/citation-style-language/schema/raw/master/csl-citation.json"}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w:t>
      </w:r>
      <w:r>
        <w:rPr>
          <w:rFonts w:hint="eastAsia" w:ascii="宋体" w:hAnsi="宋体" w:eastAsia="宋体"/>
          <w:sz w:val="21"/>
          <w:vertAlign w:val="superscript"/>
          <w:lang w:val="en-US" w:eastAsia="zh-CN"/>
        </w:rPr>
        <w:t>1</w:t>
      </w:r>
      <w:r>
        <w:rPr>
          <w:rFonts w:hint="eastAsia" w:ascii="宋体" w:hAnsi="宋体" w:eastAsia="宋体"/>
          <w:sz w:val="21"/>
          <w:vertAlign w:val="superscript"/>
        </w:rPr>
        <w:t>]</w:t>
      </w:r>
      <w:r>
        <w:rPr>
          <w:rFonts w:hint="eastAsia" w:ascii="宋体" w:hAnsi="宋体" w:eastAsia="宋体"/>
          <w:sz w:val="21"/>
          <w:szCs w:val="21"/>
          <w:vertAlign w:val="superscript"/>
        </w:rPr>
        <w:fldChar w:fldCharType="end"/>
      </w:r>
      <w:r>
        <w:rPr>
          <w:rFonts w:hint="eastAsia" w:ascii="宋体" w:hAnsi="宋体" w:eastAsia="宋体"/>
          <w:sz w:val="21"/>
          <w:szCs w:val="21"/>
        </w:rPr>
        <w:t>。范畴感知是语言知觉中一个重要特征，有效地解释了人如何将听到的连续语音信号感知为离散的语音范畴</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{"citationID":"lhanw79Y","properties":{"formattedCitation":"[1]","plainCitation":"[1]","noteIndex":0},"citationItems":[{"id":756,"uris":["http://zotero.org/users/14768194/items/VAH7X3SE"],"itemData":{"id":756,"type":"article-journal","container-title":"Journal of Experimental Psychology","DOI":"10.1037/h0044417","ISSN":"0022-1015","issue":"5","journalAbbreviation":"Journal of Experimental Psychology","language":"en","page":"358-368","source":"DOI.org (Crossref)","title":"The discrimination of speech sounds within and across phoneme boundaries.","volume":"54","author":[{"family":"Liberman","given":"Alvin M."},{"family":"Harris","given":"Katherine Safford"},{"family":"Hoffman","given":"Howard S."},{"family":"Griffith","given":"Belver C."}],"issued":{"date-parts":[["1957"]]}}}],"schema":"https://github.com/citation-style-language/schema/raw/master/csl-citation.json"}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w:t>
      </w:r>
      <w:r>
        <w:rPr>
          <w:rFonts w:hint="eastAsia" w:ascii="宋体" w:hAnsi="宋体" w:eastAsia="宋体"/>
          <w:sz w:val="21"/>
          <w:vertAlign w:val="superscript"/>
          <w:lang w:val="en-US" w:eastAsia="zh-CN"/>
        </w:rPr>
        <w:t>2</w:t>
      </w:r>
      <w:r>
        <w:rPr>
          <w:rFonts w:hint="eastAsia" w:ascii="宋体" w:hAnsi="宋体" w:eastAsia="宋体"/>
          <w:sz w:val="21"/>
          <w:vertAlign w:val="superscript"/>
        </w:rPr>
        <w:t>]</w:t>
      </w:r>
      <w:r>
        <w:rPr>
          <w:rFonts w:hint="eastAsia" w:ascii="宋体" w:hAnsi="宋体" w:eastAsia="宋体"/>
          <w:sz w:val="21"/>
          <w:szCs w:val="21"/>
          <w:vertAlign w:val="superscript"/>
        </w:rPr>
        <w:fldChar w:fldCharType="end"/>
      </w:r>
      <w:r>
        <w:rPr>
          <w:rFonts w:hint="eastAsia" w:ascii="宋体" w:hAnsi="宋体" w:eastAsia="宋体"/>
          <w:sz w:val="21"/>
          <w:szCs w:val="21"/>
        </w:rPr>
        <w:t>。典型的范畴感知则展现了语音的边界效应，即跨边界语音信号的识别表现出一个峰值的转变。</w:t>
      </w:r>
      <w:r>
        <w:rPr>
          <w:rFonts w:hint="eastAsia" w:ascii="宋体" w:hAnsi="宋体" w:eastAsia="宋体"/>
          <w:sz w:val="21"/>
          <w:szCs w:val="21"/>
          <w:lang w:val="en-US" w:eastAsia="zh-CN"/>
        </w:rPr>
        <w:t>具体来说，</w:t>
      </w:r>
      <w:r>
        <w:rPr>
          <w:rFonts w:hint="eastAsia" w:ascii="宋体" w:hAnsi="宋体" w:eastAsia="宋体"/>
          <w:sz w:val="21"/>
          <w:szCs w:val="21"/>
        </w:rPr>
        <w:t>在声调识别的过程中，人对于一个声调向另一个声调转变的感知存在一个峰值。这一理论推动了针对汉语声调范畴感知研究的发展</w:t>
      </w:r>
      <w:r>
        <w:rPr>
          <w:rFonts w:hint="eastAsia" w:ascii="宋体" w:hAnsi="宋体" w:eastAsia="宋体"/>
          <w:sz w:val="21"/>
          <w:szCs w:val="21"/>
          <w:lang w:eastAsia="zh-CN"/>
        </w:rPr>
        <w:t>，</w:t>
      </w:r>
      <w:r>
        <w:rPr>
          <w:rFonts w:hint="eastAsia" w:ascii="宋体" w:hAnsi="宋体" w:eastAsia="宋体"/>
          <w:sz w:val="21"/>
          <w:szCs w:val="21"/>
        </w:rPr>
        <w:t>为了更加有效地利用声调信息，研究者必须对基频F0和汉语声调语音语调感知进行准确的提取与分析。</w:t>
      </w:r>
    </w:p>
    <w:p w14:paraId="566479B7">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国内外学者在语音感知领域的研究已取得诸多成果，但针对汉语普通话声调特征的研究较少，同时本课题的声场应用也尚未涉及</w:t>
      </w:r>
      <w:r>
        <w:rPr>
          <w:rFonts w:hint="eastAsia" w:ascii="宋体" w:hAnsi="宋体" w:eastAsia="宋体"/>
          <w:sz w:val="21"/>
          <w:szCs w:val="21"/>
          <w:lang w:eastAsia="zh-CN"/>
        </w:rPr>
        <w:t>。</w:t>
      </w:r>
      <w:r>
        <w:rPr>
          <w:rFonts w:hint="eastAsia" w:ascii="宋体" w:hAnsi="宋体" w:eastAsia="宋体"/>
          <w:sz w:val="21"/>
          <w:szCs w:val="21"/>
        </w:rPr>
        <w:t>Froud等研究了以英语为母语的汉语学习者的汉语声调感知</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{"citationID":"p5C0FCsK","properties":{"formattedCitation":"[3]","plainCitation":"[3]","noteIndex":0},"citationItems":[{"id":735,"uris":["http://zotero.org/users/14768194/items/YPZRTHY3"],"itemData":{"id":735,"type":"article-journal","abstract":"Whether native speakers of non-tonal languages can acquire categorical representations of lexical tones remains controversial. This study investigates the acqui","container-title":"The Journal of the Acoustical Society of America","DOI":"10.1121/1.4971765","ISSN":"0001-4966","issue":"6","journalAbbreviation":"J. Acoust. Soc. Am.","language":"en","note":"publisher: AIP Publishing","page":"4396-4403","source":"pubs.aip.org","title":"Categorical perception of lexical tones by English learners of Mandarin Chinese","volume":"140","author":[{"family":"Shen","given":"Guannan"},{"family":"Froud","given":"Karen"}],"issued":{"date-parts":[["2016",12,1]]}}}],"schema":"https://github.com/citation-style-language/schema/raw/master/csl-citation.json"}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[3]</w:t>
      </w:r>
      <w:r>
        <w:rPr>
          <w:rFonts w:hint="eastAsia" w:ascii="宋体" w:hAnsi="宋体" w:eastAsia="宋体"/>
          <w:sz w:val="21"/>
          <w:szCs w:val="21"/>
          <w:vertAlign w:val="superscript"/>
        </w:rPr>
        <w:fldChar w:fldCharType="end"/>
      </w:r>
      <w:r>
        <w:rPr>
          <w:rFonts w:hint="eastAsia" w:ascii="宋体" w:hAnsi="宋体" w:eastAsia="宋体"/>
          <w:sz w:val="21"/>
          <w:szCs w:val="21"/>
        </w:rPr>
        <w:t>，而Halle等则对比了台湾话和法语听者之间对于汉语声调感知的差异</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{"citationID":"lZf1Gbrs","properties":{"formattedCitation":"[4]","plainCitation":"[4]","noteIndex":0},"citationItems":[{"id":804,"uris":["http://zotero.org/users/14768194/items/VXEVQTV8"],"itemData":{"id":804,"type":"article-journal","abstract":"Previous work has not yielded clear conclusions about the categorical nature of perception of tone contrasts by native listeners of tone languages. We…","container-title":"Journal of Phonetics","DOI":"10.1016/S0095-4470(03)00016-0","ISSN":"0095-4470","issue":"3","language":"en-US","note":"publisher: Academic Press","page":"395-421","source":"www.sciencedirect.com","title":"Identification and discrimination of Mandarin Chinese tones by Mandarin Chinese vs. French listeners","volume":"32","issued":{"date-parts":[["2004",7,1]]}}}],"schema":"https://github.com/citation-style-language/schema/raw/master/csl-citation.json"}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[4]</w:t>
      </w:r>
      <w:r>
        <w:rPr>
          <w:rFonts w:hint="eastAsia" w:ascii="宋体" w:hAnsi="宋体" w:eastAsia="宋体"/>
          <w:sz w:val="21"/>
          <w:szCs w:val="21"/>
          <w:vertAlign w:val="superscript"/>
        </w:rPr>
        <w:fldChar w:fldCharType="end"/>
      </w:r>
      <w:r>
        <w:rPr>
          <w:rFonts w:hint="eastAsia" w:ascii="宋体" w:hAnsi="宋体" w:eastAsia="宋体"/>
          <w:sz w:val="21"/>
          <w:szCs w:val="21"/>
        </w:rPr>
        <w:t>。然而，这些研究大多基于实验室理想噪声环境或单一噪声源，未能充分模拟真实声场条件下的复杂噪声干扰。因此，本研究通过构建更接近现实场景的多方位噪声环境，填补了汉语声调感知研究在真实声场条件下的空白，为声调感知的生态效度提供了重要依据。</w:t>
      </w:r>
    </w:p>
    <w:p w14:paraId="02DF8874">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现实生活中的言语感知无时无刻不受到噪音的影响。在噪音环境下，听者对于语音识别存在一定困难，且不同类型的噪声对于识别也在不同级别的难度。</w:t>
      </w:r>
      <w:bookmarkStart w:id="2" w:name="OLE_LINK11"/>
      <w:bookmarkEnd w:id="2"/>
      <w:r>
        <w:rPr>
          <w:rFonts w:hint="eastAsia" w:ascii="宋体" w:hAnsi="宋体" w:eastAsia="宋体"/>
          <w:sz w:val="21"/>
          <w:szCs w:val="21"/>
        </w:rPr>
        <w:t>Wang等测试了在不同SNR的白噪音环境下，声调识别的的正确率随着</w:t>
      </w:r>
      <w:r>
        <w:rPr>
          <w:rFonts w:hint="eastAsia" w:ascii="宋体" w:hAnsi="宋体" w:eastAsia="宋体"/>
          <w:sz w:val="21"/>
          <w:szCs w:val="21"/>
          <w:lang w:val="en-US" w:eastAsia="zh-CN"/>
        </w:rPr>
        <w:t>SNR</w:t>
      </w:r>
      <w:r>
        <w:rPr>
          <w:rFonts w:hint="eastAsia" w:ascii="宋体" w:hAnsi="宋体" w:eastAsia="宋体"/>
          <w:sz w:val="21"/>
          <w:szCs w:val="21"/>
        </w:rPr>
        <w:t>的下降而下降</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{"citationID":"1WwruSE1","properties":{"formattedCitation":"[5]","plainCitation":"[5]","noteIndex":0},"citationItems":[{"id":689,"uris":["http://zotero.org/users/14768194/items/U4UL6W86"],"itemData":{"id":689,"type":"article-journal","abstract":"Purpose\n              The purpose of this study was to examine (a) the psychometric functions of Mandarin speech-on-speech masking with a comparison to the psychometric properties of the English version and (b) the feasibility of using the method of adaptive tracking (MAT) to measure Mandarin speech recognition thresholds in different masker conditions using a Chinese coordinate response measure (C-CRM) speech corpus.\n            \n            \n              Method\n              The study followed the example of the English coordinate response measure (E-CRM) speech corpus and designed a Chinese version. Sixteen listeners were recruited for a monaural Mandarin speech recognition test using C-CRM materials in 5 competing speech masker conditions: 1-talker different-gender, 1-talker same-gender, and 2-, 4-, and 8-talker maskers. Both the MAT and the method of constant stimuli (MCS) were used and then compared.\n            \n            \n              Results\n              \n                Results of the MCS revealed that Mandarin listeners' psychometric functions varied depending upon masker characteristics (e.g., the number and gender of talkers), because significant differences were suggested among the 5 masker conditions (mainly between 1-talker and multitalker), as measured in the slope\n                b\n                and the 50% threshold. Meanwhile, speech identification improved monotonically with increasing signal-to-noise ratios for all 5 masker conditions, except</w:instrText>
      </w:r>
      <w:r>
        <w:rPr>
          <w:rFonts w:ascii="宋体" w:hAnsi="宋体" w:eastAsia="宋体"/>
          <w:sz w:val="21"/>
          <w:szCs w:val="21"/>
          <w:vertAlign w:val="superscript"/>
        </w:rPr>
        <w:instrText xml:space="preserve"> that a plateau was observed with signal-to-noise ratios from </w:instrText>
      </w:r>
      <w:r>
        <w:rPr>
          <w:rFonts w:ascii="Cambria Math" w:hAnsi="Cambria Math" w:eastAsia="宋体" w:cs="Cambria Math"/>
          <w:sz w:val="21"/>
          <w:szCs w:val="21"/>
          <w:vertAlign w:val="superscript"/>
        </w:rPr>
        <w:instrText xml:space="preserve">−</w:instrText>
      </w:r>
      <w:r>
        <w:rPr>
          <w:rFonts w:ascii="宋体" w:hAnsi="宋体" w:eastAsia="宋体"/>
          <w:sz w:val="21"/>
          <w:szCs w:val="21"/>
          <w:vertAlign w:val="superscript"/>
        </w:rPr>
        <w:instrText xml:space="preserve">10 to 0 dB in the 1-talker maskers. The properties of C-CRM psychometric functions largely agreed with E-CRM findings, and yet lower speech recognition thresholds were found in C-CRM. Meanwhil</w:instrText>
      </w:r>
      <w:r>
        <w:rPr>
          <w:rFonts w:hint="eastAsia" w:ascii="宋体" w:hAnsi="宋体" w:eastAsia="宋体"/>
          <w:sz w:val="21"/>
          <w:szCs w:val="21"/>
          <w:vertAlign w:val="superscript"/>
        </w:rPr>
        <w:instrText xml:space="preserve">e, the comparisons of the thresholds estimated in the MAT and the MCS showed no significant differences for all 5 masker conditions.\n              \n            \n            \n              Conclusion\n              The results suggest that masker characteristics greatly affected Mandarin psychometric functions and monotonicity was present in all 5 C-CRM maskers, echoing the E-CRM literature in a great extent. Interestingly, target words of C-CRM were found easier to recognize in multitalker babbles than those of E-CRM. Moreover, comparisons of the MAT and the MCS suggest that the MAT provided a feasible method for measuring Mandarin speech recognition thresholds with the C-CRM speech maskers.","container-title":"Journal of Speech, Language, and Hearing Research","DOI":"10.1044/2019_JSLHR-H-18-0162","ISSN":"1092-4388, 1558-9102","issue":"6","journalAbbreviation":"J Speech Lang Hear Res","language":"en","page":"2009-2017","source":"DOI.org (Crossref)","title":"Measuring Mandarin Speech Recognition Thresholds Using the Method of Adaptive Tracking","volume":"62","author":[{"family":"Wang","given":"Yuxia"},{"family":"Lu","given":"Zhaoyu"},{"family":"Yang","given":"Xiaohu"},{"family":"Liu","given":"Chang"}],"issued":{"date-parts":[["2019",6,19]]}}}],"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[5]</w:t>
      </w:r>
      <w:r>
        <w:rPr>
          <w:rFonts w:hint="eastAsia" w:ascii="宋体" w:hAnsi="宋体" w:eastAsia="宋体"/>
          <w:sz w:val="21"/>
          <w:szCs w:val="21"/>
          <w:vertAlign w:val="superscript"/>
        </w:rPr>
        <w:fldChar w:fldCharType="end"/>
      </w:r>
      <w:r>
        <w:rPr>
          <w:rFonts w:hint="eastAsia" w:ascii="宋体" w:hAnsi="宋体" w:eastAsia="宋体"/>
          <w:sz w:val="21"/>
          <w:szCs w:val="21"/>
        </w:rPr>
        <w:t>。至今，不少研究者将噪音对于汉语声调范畴感知的遮蔽作用作为研究对象，探讨多样情形下遮蔽作用起到的影响。Dees等使用了白噪音和多人谈话言语噪声，考察母语者和美国人对于不同声调的元音的感知，得出白噪音只遮蔽能量，而多人谈话言语噪声遮蔽了语音传达的信息</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{"citationID":"0T4XtK4D","properties":{"formattedCitation":"[6]","plainCitation":"[6]","noteIndex":0},"citationItems":[{"id":803,"uris":["http://zotero.org/users/14768194/items/WPEJTHWN"],"itemData":{"id":803,"type":"article-journal","abstract":"Speech in ecological environments is often accompanied by noise, which often proposes challenges to listeners. In this study we examined differences in native Mandarin-speaking and native English-speaking adults’ ability to perceive lexical tones and vowels in white noise and multi-talker babble noise at different signal-to-noise ratios. We found that although white noise impaired both listener groups’ speech perception ability, Mandarin multi-talker babble noise impaired Mandarin listeners to a greater extent. These results provide evidence for the differential effects of energetic and informational masking on native and non-native speech perception and the perceptual consequence of the reorganization of the auditory system after native language learning.","language":"en","source":"Zotero","title":"EFFECTS OF NOISE ON LEXICAL TONE PERCEPTION BY NATIVE AND NON-NATIVE LISTENERS","author":[{"family":"Dees","given":"Tasha M"},{"family":"Bradlow","given":"Ann R"},{"family":"Dhar","given":"Sumitrajit"},{"family":"Wong","given":"Patrick C M"}],"issued":{"date-parts":[["2007"]]}}}],"schema":"https://github.com/citation-style-language/schema/raw/master/csl-citation.json"}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[6]</w:t>
      </w:r>
      <w:r>
        <w:rPr>
          <w:rFonts w:hint="eastAsia" w:ascii="宋体" w:hAnsi="宋体" w:eastAsia="宋体"/>
          <w:sz w:val="21"/>
          <w:szCs w:val="21"/>
          <w:vertAlign w:val="superscript"/>
        </w:rPr>
        <w:fldChar w:fldCharType="end"/>
      </w:r>
      <w:r>
        <w:rPr>
          <w:rFonts w:hint="eastAsia" w:ascii="宋体" w:hAnsi="宋体" w:eastAsia="宋体"/>
          <w:sz w:val="21"/>
          <w:szCs w:val="21"/>
        </w:rPr>
        <w:t>。目前，学界也有了考虑噪音因素的研究，这些研究为理解噪音对语音感知的影响提供了理论基础，深入研究了在动态环境下的语音感知机制，但国外学者针对汉语普通话声调特征的研究较少，同时本课题的声场应用也尚未涉及。国内对于汉语普通话声调感知的研究较为丰富，亓贝尔等人的研究利用噪声下声调识别测试（Tone Identification in Noise Test, TINT）材料，对听力正常人进行了不同</w:t>
      </w:r>
      <w:r>
        <w:rPr>
          <w:rFonts w:hint="eastAsia" w:ascii="宋体" w:hAnsi="宋体" w:eastAsia="宋体"/>
          <w:sz w:val="21"/>
          <w:szCs w:val="21"/>
          <w:lang w:val="en-US" w:eastAsia="zh-CN"/>
        </w:rPr>
        <w:t>SNR</w:t>
      </w:r>
      <w:r>
        <w:rPr>
          <w:rFonts w:hint="eastAsia" w:ascii="宋体" w:hAnsi="宋体" w:eastAsia="宋体"/>
          <w:sz w:val="21"/>
          <w:szCs w:val="21"/>
        </w:rPr>
        <w:t>条件下的心理声学测量，建立了听力正常人噪声下声调识别的成绩-强度（Performance-Intensity, PI）函数。研究发现，人们对于汉语声调语音语调感知可能与普通话声调的时长和调形特性有关</w:t>
      </w:r>
      <w:r>
        <w:rPr>
          <w:rFonts w:hint="eastAsia" w:ascii="宋体" w:hAnsi="宋体" w:eastAsia="宋体"/>
          <w:sz w:val="21"/>
          <w:szCs w:val="21"/>
          <w:vertAlign w:val="superscript"/>
          <w:lang w:val="en-US" w:eastAsia="zh-CN"/>
        </w:rPr>
        <w:t>[7]</w:t>
      </w:r>
      <w:r>
        <w:rPr>
          <w:rFonts w:hint="eastAsia" w:ascii="宋体" w:hAnsi="宋体" w:eastAsia="宋体"/>
          <w:sz w:val="21"/>
          <w:szCs w:val="21"/>
        </w:rPr>
        <w:t>。通过心理物理方法研究了语音识别的统计特性，提出了基于Bootstrap的置信区间和采样方法，为心理声学测试提供了重要的理论基础</w:t>
      </w:r>
      <w:r>
        <w:rPr>
          <w:rFonts w:hint="eastAsia" w:ascii="宋体" w:hAnsi="宋体" w:eastAsia="宋体"/>
          <w:sz w:val="21"/>
          <w:szCs w:val="21"/>
          <w:vertAlign w:val="superscript"/>
          <w:lang w:val="en-US" w:eastAsia="zh-CN"/>
        </w:rPr>
        <w:t>[8]</w:t>
      </w:r>
      <w:r>
        <w:rPr>
          <w:rFonts w:hint="eastAsia" w:ascii="宋体" w:hAnsi="宋体" w:eastAsia="宋体"/>
          <w:sz w:val="21"/>
          <w:szCs w:val="21"/>
        </w:rPr>
        <w:t>。但研究者还是多聚焦于不同语言习得背景的听者来研究噪音的遮蔽作用，</w:t>
      </w:r>
      <w:r>
        <w:rPr>
          <w:rFonts w:hint="eastAsia" w:ascii="宋体" w:hAnsi="宋体" w:eastAsia="宋体"/>
          <w:sz w:val="21"/>
          <w:szCs w:val="21"/>
          <w:lang w:val="en-US" w:eastAsia="zh-CN"/>
        </w:rPr>
        <w:t>例如</w:t>
      </w:r>
      <w:r>
        <w:rPr>
          <w:rFonts w:hint="eastAsia" w:ascii="宋体" w:hAnsi="宋体" w:eastAsia="宋体"/>
          <w:sz w:val="21"/>
          <w:szCs w:val="21"/>
        </w:rPr>
        <w:t>Shao等进行了针对失语症患者的噪音条件下声调感知测试，探究失语症阻碍声调感知的背后原理</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{"citationID":"jhworGiN","properties":{"formattedCitation":"[7]","plainCitation":"[7]","noteIndex":0},"citationItems":[{"id":807,"uris":["http://zotero.org/users/14768194/items/4KYBZN72"],"itemData":{"id":807,"type":"paper-conference","abstract":"Congenital amusia is a neurogenetic disorder affecting musical pitch processing. It also affects lexical tone perception. It is well documented that noisy conditions impact speech perception in second language learners and cochlear implant users. However, it is yet unclear whether and how noise affects lexical tone perception in the amusics. This paper examined the effect of multi-talker babble noise [1] on lexical tone identification and discrimination in 14 Cantonesespeaking amusics and 14 controls at three levels of signal-tonoise ratio (SNR). Results reveal that the amusics were less accurate in the identification of tones compared to controls in all SNR conditions. They also showed degraded performance in the discrimination, but less severe than in the identification. These results confirmed that amusia influences lexical tone processing. But the amusics were not influenced more by noise than the controls in either identification or discrimination. This indicates that the deficits of amusia may not be due to the lack of native-like language processing mechanisms or are mechanical in nature, as in the case of second language learners and cochlear implant users. Instead, the amusics may be impaired in the linguistic processing of native tones, showing impaired tone perception already under the clear condition.","DOI":"10.21437/Interspeech.2016-891","ISBN":"978-2-01-600023-6","language":"en","license":"Copyright © 2016 ISCA","note":"Accepted: 2017-05-22T02:15:37Z\nISSN: 2308-457X","page":"272-276","publisher":"International Speech and Communication Association","source":"ira.lib.polyu.edu.hk","title":"Effect of noise on lexical tone perception in Cantonese-speaking amusics","URL":"http://ira.lib.polyu.edu.hk/handle/10397/66161","volume":"08-12-September-2016","author":[{"family":"Shao","given":"J."},{"family":"Zhang","given":"C."},{"family":"Peng","given":"G."},{"family":"Yang","given":"Y."},{"family":"Wang","given":"W. S. Y."}],"accessed":{"date-parts":[["2025",4,15]]},"issued":{"date-parts":[["2016"]]}}}],"schema":"https://github.com/citation-style-language/schema/raw/master/csl-citation.json"}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w:t>
      </w:r>
      <w:r>
        <w:rPr>
          <w:rFonts w:hint="eastAsia" w:ascii="宋体" w:hAnsi="宋体" w:eastAsia="宋体"/>
          <w:sz w:val="21"/>
          <w:vertAlign w:val="superscript"/>
          <w:lang w:val="en-US" w:eastAsia="zh-CN"/>
        </w:rPr>
        <w:t>9</w:t>
      </w:r>
      <w:r>
        <w:rPr>
          <w:rFonts w:hint="eastAsia" w:ascii="宋体" w:hAnsi="宋体" w:eastAsia="宋体"/>
          <w:sz w:val="21"/>
          <w:vertAlign w:val="superscript"/>
        </w:rPr>
        <w:t>]</w:t>
      </w:r>
      <w:r>
        <w:rPr>
          <w:rFonts w:hint="eastAsia" w:ascii="宋体" w:hAnsi="宋体" w:eastAsia="宋体"/>
          <w:sz w:val="21"/>
          <w:szCs w:val="21"/>
          <w:vertAlign w:val="superscript"/>
        </w:rPr>
        <w:fldChar w:fldCharType="end"/>
      </w:r>
      <w:r>
        <w:rPr>
          <w:rFonts w:hint="eastAsia" w:ascii="宋体" w:hAnsi="宋体" w:eastAsia="宋体"/>
          <w:sz w:val="21"/>
          <w:szCs w:val="21"/>
        </w:rPr>
        <w:t>。但现实中通常出现多种噪音条件，且现今研究使用的噪音音频也与真实噪音有所出入。因此，多样化噪音类型对于汉语声调范畴感知的影响值得更加深入研究。</w:t>
      </w:r>
    </w:p>
    <w:p w14:paraId="283415BB">
      <w:pPr>
        <w:spacing w:line="240" w:lineRule="auto"/>
        <w:ind w:firstLine="420"/>
        <w:rPr>
          <w:rFonts w:hint="eastAsia" w:ascii="宋体" w:hAnsi="宋体" w:eastAsia="宋体"/>
          <w:sz w:val="21"/>
          <w:szCs w:val="21"/>
        </w:rPr>
      </w:pPr>
      <w:r>
        <w:rPr>
          <w:rFonts w:hint="eastAsia" w:ascii="宋体" w:hAnsi="宋体" w:eastAsia="宋体"/>
          <w:sz w:val="21"/>
          <w:szCs w:val="21"/>
        </w:rPr>
        <w:t>本研究为创造更多样，更真实的噪音条件，打造了真实声场环境。该声场内置于一间密闭的房间，保证无多余的声音因素影响实验</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{"citationID":"07nVkDhw","properties":{"formattedCitation":"[8]","plainCitation":"[8]","noteIndex":0},"citationItems":[{"id":785,"uris":["http://zotero.org/users/14768194/items/8ZLT9QKZ"],"itemData":{"id":785,"type":"article","abstract":"Knowledge of loudspeaker responses are useful in a number of applications, where a sound system is located inside a room that alters the listening experience depending on position within the room. Acquisition of sound fields for sound sources located in reverberant rooms can be achieved through labor intensive measurements of impulse response functions covering the room, or alternatively by means of reconstruction methods which can potentially require significantly fewer measurements. This paper extends evaluations of sound field reconstruction at low frequencies by introducing a dataset with measurements from four real rooms. The ISOBEL Sound Field dataset is publicly available, and aims to bridge the gap between synthetic and real-world sound fields in rectangular rooms. Moreover, the paper advances on a recent deep learning-based method for sound field reconstruction using a very low number of microphones, and proposes an approach for modeling both magnitude and phase response in a U-Net-like neural network architecture. The complex-valued sound field reconstruction demonstrates that the estimated room transfer functions are of high enough accuracy to allow for personalized sound zones with contrast ratios comparable to ideal room transfer functions using 15 microphones below 150 Hz.","DOI":"10.48550/arXiv.2102.06455","note":"arXiv:2102.06455 [cs]","number":"arXiv:2102.06455","publisher":"arXiv","source":"arXiv.org","title":"Deep Sound Field Reconstruction in Real Rooms: Introducing the ISOBEL Sound Field Dataset","title-short":"Deep Sound Field Reconstruction in Real Rooms","URL":"http://arxiv.org/abs/2102.06455","author":[{"family":"Kristoffersen","given":"Miklas Strøm"},{"family":"Møller","given":"Martin Bo"},{"family":"Martínez-Nuevo","given":"Pablo"},{"family":"Østergaard","given":"Jan"}],"accessed":{"date-parts":[["2025",4,12]]},"issued":{"date-parts":[["2021",2,12]]}}}],"schema":"https://github.com/citation-style-language/schema/raw/master/csl-citation.json"}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w:t>
      </w:r>
      <w:r>
        <w:rPr>
          <w:rFonts w:hint="eastAsia" w:ascii="宋体" w:hAnsi="宋体" w:eastAsia="宋体"/>
          <w:sz w:val="21"/>
          <w:vertAlign w:val="superscript"/>
          <w:lang w:val="en-US" w:eastAsia="zh-CN"/>
        </w:rPr>
        <w:t>10</w:t>
      </w:r>
      <w:r>
        <w:rPr>
          <w:rFonts w:hint="eastAsia" w:ascii="宋体" w:hAnsi="宋体" w:eastAsia="宋体"/>
          <w:sz w:val="21"/>
          <w:vertAlign w:val="superscript"/>
        </w:rPr>
        <w:t>]</w:t>
      </w:r>
      <w:r>
        <w:rPr>
          <w:rFonts w:hint="eastAsia" w:ascii="宋体" w:hAnsi="宋体" w:eastAsia="宋体"/>
          <w:sz w:val="21"/>
          <w:szCs w:val="21"/>
          <w:vertAlign w:val="superscript"/>
        </w:rPr>
        <w:fldChar w:fldCharType="end"/>
      </w:r>
      <w:r>
        <w:rPr>
          <w:rFonts w:hint="eastAsia" w:ascii="宋体" w:hAnsi="宋体" w:eastAsia="宋体"/>
          <w:sz w:val="21"/>
          <w:szCs w:val="21"/>
        </w:rPr>
        <w:t>。同时，噪音选取以餐厅为环境的多人言语噪声，有效遮蔽语音中的信息</w:t>
      </w:r>
      <w:r>
        <w:rPr>
          <w:rFonts w:hint="eastAsia" w:ascii="宋体" w:hAnsi="宋体" w:eastAsia="宋体"/>
          <w:sz w:val="21"/>
          <w:szCs w:val="21"/>
          <w:lang w:eastAsia="zh-CN"/>
        </w:rPr>
        <w:t>，</w:t>
      </w:r>
      <w:r>
        <w:rPr>
          <w:rFonts w:hint="eastAsia" w:ascii="宋体" w:hAnsi="宋体" w:eastAsia="宋体"/>
          <w:sz w:val="21"/>
          <w:szCs w:val="21"/>
        </w:rPr>
        <w:t>为身处于声场中的被试听者打造一个无限接近于真实餐厅环境下的噪音条件。本研究的其一目的是测试该真实声场条件下噪音对汉语声调范畴感知的影响</w:t>
      </w:r>
      <w:r>
        <w:rPr>
          <w:rFonts w:hint="eastAsia" w:ascii="宋体" w:hAnsi="宋体" w:eastAsia="宋体"/>
          <w:sz w:val="21"/>
          <w:szCs w:val="21"/>
          <w:lang w:eastAsia="zh-CN"/>
        </w:rPr>
        <w:t>，</w:t>
      </w:r>
      <w:r>
        <w:rPr>
          <w:rFonts w:hint="eastAsia" w:ascii="宋体" w:hAnsi="宋体" w:eastAsia="宋体"/>
          <w:sz w:val="21"/>
          <w:szCs w:val="21"/>
        </w:rPr>
        <w:t>在该条件下，遮蔽作用的影响是否增强，是否降低了汉语声调的范畴感知，这些是本研究想通过实验解决的问题。</w:t>
      </w:r>
    </w:p>
    <w:p w14:paraId="2AB7C9E0">
      <w:pPr>
        <w:spacing w:line="240" w:lineRule="auto"/>
        <w:ind w:firstLine="420"/>
        <w:rPr>
          <w:rFonts w:hint="eastAsia" w:ascii="宋体" w:hAnsi="宋体" w:eastAsia="宋体"/>
          <w:sz w:val="21"/>
          <w:szCs w:val="21"/>
        </w:rPr>
      </w:pPr>
      <w:r>
        <w:rPr>
          <w:rFonts w:hint="eastAsia" w:ascii="宋体" w:hAnsi="宋体" w:eastAsia="宋体"/>
          <w:sz w:val="21"/>
          <w:szCs w:val="21"/>
        </w:rPr>
        <w:t>本研究的第二个目的是利用真实声场的条件，探究噪音的不同空间定位对汉语声调范畴感知的影响差异，从而对反映汉语声调识别的影响。本研究所使用的真实声场中由12个扬声器环绕组成，可在实验中实现单一方位和环绕方位的不同噪音。单一方位噪音由位于0</w:t>
      </w:r>
      <w:r>
        <w:rPr>
          <w:rFonts w:hint="eastAsia" w:ascii="宋体" w:hAnsi="宋体" w:eastAsia="宋体"/>
          <w:sz w:val="21"/>
          <w:szCs w:val="21"/>
          <w:vertAlign w:val="superscript"/>
        </w:rPr>
        <w:t>o</w:t>
      </w:r>
      <w:r>
        <w:rPr>
          <w:rFonts w:hint="eastAsia" w:ascii="宋体" w:hAnsi="宋体" w:eastAsia="宋体"/>
          <w:sz w:val="21"/>
          <w:szCs w:val="21"/>
        </w:rPr>
        <w:t>面向听者的扬声器发出，而环绕噪音则由位于60</w:t>
      </w:r>
      <w:r>
        <w:rPr>
          <w:rFonts w:hint="eastAsia" w:ascii="宋体" w:hAnsi="宋体" w:eastAsia="宋体"/>
          <w:sz w:val="21"/>
          <w:szCs w:val="21"/>
          <w:vertAlign w:val="superscript"/>
        </w:rPr>
        <w:t>o</w:t>
      </w:r>
      <w:r>
        <w:rPr>
          <w:rFonts w:hint="eastAsia" w:ascii="宋体" w:hAnsi="宋体" w:eastAsia="宋体"/>
          <w:sz w:val="21"/>
          <w:szCs w:val="21"/>
        </w:rPr>
        <w:t>，100</w:t>
      </w:r>
      <w:r>
        <w:rPr>
          <w:rFonts w:hint="eastAsia" w:ascii="宋体" w:hAnsi="宋体" w:eastAsia="宋体"/>
          <w:sz w:val="21"/>
          <w:szCs w:val="21"/>
          <w:vertAlign w:val="superscript"/>
        </w:rPr>
        <w:t>o</w:t>
      </w:r>
      <w:r>
        <w:rPr>
          <w:rFonts w:hint="eastAsia" w:ascii="宋体" w:hAnsi="宋体" w:eastAsia="宋体"/>
          <w:sz w:val="21"/>
          <w:szCs w:val="21"/>
        </w:rPr>
        <w:t>，300</w:t>
      </w:r>
      <w:r>
        <w:rPr>
          <w:rFonts w:hint="eastAsia" w:ascii="宋体" w:hAnsi="宋体" w:eastAsia="宋体"/>
          <w:sz w:val="21"/>
          <w:szCs w:val="21"/>
          <w:vertAlign w:val="superscript"/>
        </w:rPr>
        <w:t>o</w:t>
      </w:r>
      <w:r>
        <w:rPr>
          <w:rFonts w:hint="eastAsia" w:ascii="宋体" w:hAnsi="宋体" w:eastAsia="宋体"/>
          <w:sz w:val="21"/>
          <w:szCs w:val="21"/>
        </w:rPr>
        <w:t>三个不同方位的扬声器同时发出。Plomp等曾指出在噪音的遮蔽作用中，与噪音声源与目标声源位于同一位置时相比，当其在空间上与目标声源分离时，所引起的掩蔽更少</w:t>
      </w:r>
      <w:r>
        <w:rPr>
          <w:rFonts w:hint="eastAsia" w:ascii="宋体" w:hAnsi="宋体" w:eastAsia="宋体"/>
          <w:sz w:val="21"/>
          <w:szCs w:val="21"/>
          <w:vertAlign w:val="superscript"/>
          <w:lang w:val="en-US" w:eastAsia="zh-CN"/>
        </w:rPr>
        <w:t>[11]</w:t>
      </w:r>
      <w:r>
        <w:rPr>
          <w:rFonts w:hint="eastAsia" w:ascii="宋体" w:hAnsi="宋体" w:eastAsia="宋体"/>
          <w:sz w:val="21"/>
          <w:szCs w:val="21"/>
        </w:rPr>
        <w:t>。本研究设置了不同空间方位的噪音条件主要为探究环绕分离噪音这一更接近于真实场景噪音形式的条件是否比单一方位的噪音条件引起更少遮蔽，影响对汉语声调范畴感知。</w:t>
      </w:r>
    </w:p>
    <w:p w14:paraId="4CC43696">
      <w:pPr>
        <w:spacing w:line="240" w:lineRule="auto"/>
        <w:ind w:firstLine="420"/>
        <w:rPr>
          <w:rFonts w:hint="eastAsia" w:ascii="宋体" w:hAnsi="宋体" w:eastAsia="宋体"/>
          <w:sz w:val="21"/>
          <w:szCs w:val="21"/>
        </w:rPr>
      </w:pPr>
      <w:r>
        <w:rPr>
          <w:rFonts w:hint="eastAsia" w:ascii="宋体" w:hAnsi="宋体" w:eastAsia="宋体"/>
          <w:sz w:val="21"/>
          <w:szCs w:val="21"/>
        </w:rPr>
        <w:t>本研究的研究对象为17-23岁具有完善认知体系的大学生青年群体。由于时间，精力等客观条件限制，我们只选取了20名上海交通大学的大学生，其中包括17名女性和3名男性。因为本研究以汉语声调感知为研究主题，招募的被试群体均来自北方方言地区并以标准普通话为母语，听力能力正常，听觉阈限均在20</w:t>
      </w:r>
      <w:r>
        <w:rPr>
          <w:rFonts w:hint="eastAsia" w:ascii="宋体" w:hAnsi="宋体" w:eastAsia="宋体"/>
          <w:sz w:val="21"/>
          <w:szCs w:val="21"/>
          <w:lang w:eastAsia="zh-CN"/>
        </w:rPr>
        <w:t>dB</w:t>
      </w:r>
      <w:r>
        <w:rPr>
          <w:rFonts w:hint="eastAsia" w:ascii="宋体" w:hAnsi="宋体" w:eastAsia="宋体"/>
          <w:sz w:val="21"/>
          <w:szCs w:val="21"/>
        </w:rPr>
        <w:t>以下，无先天声调认知障碍。本研究主要采用了实验研究法和对比法来研究。其中实验研究法采用基本的声调辨认实验，让被试在真实声场的噪音条件下，对听到的目标语音进行声调的识别，考察被试对连续语音刺激中每个语音的范畴判断。对比法则对比安静条件和不同</w:t>
      </w:r>
      <w:r>
        <w:rPr>
          <w:rFonts w:hint="eastAsia" w:ascii="宋体" w:hAnsi="宋体" w:eastAsia="宋体"/>
          <w:sz w:val="21"/>
          <w:szCs w:val="21"/>
          <w:lang w:val="en-US" w:eastAsia="zh-CN"/>
        </w:rPr>
        <w:t>SNR</w:t>
      </w:r>
      <w:r>
        <w:rPr>
          <w:rFonts w:hint="eastAsia" w:ascii="宋体" w:hAnsi="宋体" w:eastAsia="宋体"/>
          <w:sz w:val="21"/>
          <w:szCs w:val="21"/>
        </w:rPr>
        <w:t>条件下被试对汉语声调辨认的影响</w:t>
      </w:r>
      <w:r>
        <w:rPr>
          <w:rFonts w:hint="eastAsia" w:ascii="宋体" w:hAnsi="宋体" w:eastAsia="宋体"/>
          <w:sz w:val="21"/>
          <w:szCs w:val="21"/>
          <w:lang w:eastAsia="zh-CN"/>
        </w:rPr>
        <w:t>，</w:t>
      </w:r>
      <w:r>
        <w:rPr>
          <w:rFonts w:hint="eastAsia" w:ascii="宋体" w:hAnsi="宋体" w:eastAsia="宋体"/>
          <w:sz w:val="21"/>
          <w:szCs w:val="21"/>
          <w:lang w:val="en-US" w:eastAsia="zh-CN"/>
        </w:rPr>
        <w:t>以及</w:t>
      </w:r>
      <w:r>
        <w:rPr>
          <w:rFonts w:hint="eastAsia" w:ascii="宋体" w:hAnsi="宋体" w:eastAsia="宋体"/>
          <w:sz w:val="21"/>
          <w:szCs w:val="21"/>
        </w:rPr>
        <w:t>对比单一方位噪音和多方位噪音对汉语声调辨认的影响。</w:t>
      </w:r>
    </w:p>
    <w:p w14:paraId="0EACAE3D">
      <w:pPr>
        <w:spacing w:line="240" w:lineRule="auto"/>
        <w:ind w:firstLine="420"/>
        <w:rPr>
          <w:rFonts w:hint="eastAsia" w:ascii="宋体" w:hAnsi="宋体" w:eastAsia="宋体"/>
          <w:sz w:val="21"/>
          <w:szCs w:val="21"/>
        </w:rPr>
      </w:pPr>
      <w:bookmarkStart w:id="3" w:name="OLE_LINK13"/>
      <w:r>
        <w:rPr>
          <w:rFonts w:hint="eastAsia" w:ascii="宋体" w:hAnsi="宋体" w:eastAsia="宋体"/>
          <w:sz w:val="21"/>
          <w:szCs w:val="21"/>
        </w:rPr>
        <w:t>总结而言，本研究主要为解决以下三个方面的问题：</w:t>
      </w:r>
    </w:p>
    <w:p w14:paraId="7D7FFF5C">
      <w:pPr>
        <w:numPr>
          <w:ilvl w:val="0"/>
          <w:numId w:val="1"/>
        </w:numPr>
        <w:spacing w:line="240" w:lineRule="auto"/>
        <w:ind w:firstLine="420"/>
        <w:rPr>
          <w:rFonts w:hint="eastAsia" w:ascii="宋体" w:hAnsi="宋体" w:eastAsia="宋体"/>
          <w:sz w:val="21"/>
          <w:szCs w:val="21"/>
        </w:rPr>
      </w:pPr>
      <w:r>
        <w:rPr>
          <w:rFonts w:hint="eastAsia" w:ascii="宋体" w:hAnsi="宋体" w:eastAsia="宋体"/>
          <w:sz w:val="21"/>
          <w:szCs w:val="21"/>
        </w:rPr>
        <w:t>真实声场条件下提供的噪音条件与安静条件下对汉语声调范畴感知的影响。真实声场创造的噪音条件是否发挥更强的遮蔽作用。</w:t>
      </w:r>
    </w:p>
    <w:p w14:paraId="61A15282">
      <w:pPr>
        <w:numPr>
          <w:ilvl w:val="0"/>
          <w:numId w:val="1"/>
        </w:numPr>
        <w:spacing w:line="240" w:lineRule="auto"/>
        <w:ind w:firstLine="420"/>
        <w:rPr>
          <w:rFonts w:hint="eastAsia" w:ascii="宋体" w:hAnsi="宋体" w:eastAsia="宋体"/>
          <w:sz w:val="21"/>
          <w:szCs w:val="21"/>
        </w:rPr>
      </w:pPr>
      <w:r>
        <w:rPr>
          <w:rFonts w:hint="eastAsia" w:ascii="宋体" w:hAnsi="宋体" w:eastAsia="宋体"/>
          <w:sz w:val="21"/>
          <w:szCs w:val="21"/>
        </w:rPr>
        <w:t>不同空间方位的噪音条件对汉语声调感知的影响。更贴近于现实生活的分离方位的噪音是否比单一噪音遮蔽了更少语音信息，影响对声调的范畴感知。</w:t>
      </w:r>
    </w:p>
    <w:p w14:paraId="0A6EC357">
      <w:pPr>
        <w:numPr>
          <w:ilvl w:val="0"/>
          <w:numId w:val="1"/>
        </w:numPr>
        <w:spacing w:line="240" w:lineRule="auto"/>
        <w:ind w:firstLine="420"/>
        <w:rPr>
          <w:rFonts w:hint="eastAsia" w:ascii="宋体" w:hAnsi="宋体" w:eastAsia="宋体"/>
          <w:sz w:val="21"/>
          <w:szCs w:val="21"/>
        </w:rPr>
      </w:pPr>
      <w:r>
        <w:rPr>
          <w:rFonts w:hint="eastAsia" w:ascii="宋体" w:hAnsi="宋体" w:eastAsia="宋体"/>
          <w:sz w:val="21"/>
          <w:szCs w:val="21"/>
        </w:rPr>
        <w:t>在不同空间方位的噪音条件下不同</w:t>
      </w:r>
      <w:r>
        <w:rPr>
          <w:rFonts w:hint="eastAsia" w:ascii="宋体" w:hAnsi="宋体" w:eastAsia="宋体"/>
          <w:sz w:val="21"/>
          <w:szCs w:val="21"/>
          <w:lang w:val="en-US" w:eastAsia="zh-CN"/>
        </w:rPr>
        <w:t>SNR</w:t>
      </w:r>
      <w:r>
        <w:rPr>
          <w:rFonts w:hint="eastAsia" w:ascii="宋体" w:hAnsi="宋体" w:eastAsia="宋体"/>
          <w:sz w:val="21"/>
          <w:szCs w:val="21"/>
        </w:rPr>
        <w:t>展现的汉语声调范畴感知研究，对比同空间方位下</w:t>
      </w:r>
      <w:r>
        <w:rPr>
          <w:rFonts w:hint="eastAsia" w:ascii="宋体" w:hAnsi="宋体" w:eastAsia="宋体"/>
          <w:sz w:val="21"/>
          <w:szCs w:val="21"/>
          <w:lang w:val="en-US" w:eastAsia="zh-CN"/>
        </w:rPr>
        <w:t>SNR</w:t>
      </w:r>
      <w:r>
        <w:rPr>
          <w:rFonts w:hint="eastAsia" w:ascii="宋体" w:hAnsi="宋体" w:eastAsia="宋体"/>
          <w:sz w:val="21"/>
          <w:szCs w:val="21"/>
        </w:rPr>
        <w:t>的变化和不同空间方位下整体的变化。</w:t>
      </w:r>
    </w:p>
    <w:bookmarkEnd w:id="3"/>
    <w:p w14:paraId="4C3C17CD">
      <w:pPr>
        <w:pStyle w:val="42"/>
        <w:spacing w:before="156" w:beforeLines="50" w:after="156" w:afterLines="50" w:line="240" w:lineRule="auto"/>
        <w:ind w:firstLine="480" w:firstLineChars="200"/>
        <w:rPr>
          <w:rFonts w:hint="default" w:ascii="黑体" w:hAnsi="黑体" w:eastAsia="黑体"/>
          <w:sz w:val="24"/>
          <w:szCs w:val="24"/>
        </w:rPr>
      </w:pPr>
      <w:r>
        <w:rPr>
          <w:rFonts w:ascii="黑体" w:hAnsi="黑体" w:eastAsia="黑体"/>
          <w:sz w:val="24"/>
          <w:szCs w:val="24"/>
        </w:rPr>
        <w:t>2.</w:t>
      </w:r>
      <w:r>
        <w:rPr>
          <w:rFonts w:eastAsiaTheme="minorEastAsia"/>
        </w:rPr>
        <w:t xml:space="preserve"> </w:t>
      </w:r>
      <w:r>
        <w:rPr>
          <w:rFonts w:hint="eastAsia" w:ascii="黑体" w:hAnsi="黑体" w:eastAsia="黑体"/>
          <w:sz w:val="24"/>
          <w:szCs w:val="24"/>
          <w:lang w:val="en-US" w:eastAsia="zh-CN"/>
        </w:rPr>
        <w:t>研究内容与</w:t>
      </w:r>
      <w:r>
        <w:rPr>
          <w:rFonts w:ascii="黑体" w:hAnsi="黑体" w:eastAsia="黑体"/>
          <w:sz w:val="24"/>
          <w:szCs w:val="24"/>
        </w:rPr>
        <w:t>方法</w:t>
      </w:r>
    </w:p>
    <w:p w14:paraId="3869E5F8">
      <w:pPr>
        <w:pStyle w:val="42"/>
        <w:spacing w:line="240" w:lineRule="auto"/>
        <w:ind w:firstLine="420" w:firstLineChars="200"/>
        <w:rPr>
          <w:rFonts w:ascii="黑体" w:hAnsi="黑体" w:eastAsia="黑体"/>
          <w:sz w:val="21"/>
          <w:szCs w:val="21"/>
        </w:rPr>
      </w:pPr>
      <w:r>
        <w:rPr>
          <w:rFonts w:ascii="黑体" w:hAnsi="黑体" w:eastAsia="黑体"/>
          <w:sz w:val="21"/>
          <w:szCs w:val="21"/>
        </w:rPr>
        <w:t>2.1 被试基本信息</w:t>
      </w:r>
    </w:p>
    <w:p w14:paraId="6D1D368E">
      <w:pPr>
        <w:pStyle w:val="42"/>
        <w:spacing w:line="240" w:lineRule="auto"/>
        <w:ind w:firstLine="420" w:firstLineChars="200"/>
        <w:rPr>
          <w:rFonts w:hint="eastAsia" w:ascii="宋体" w:hAnsi="宋体" w:eastAsia="宋体" w:cstheme="minorBidi"/>
          <w:color w:val="auto"/>
          <w:kern w:val="2"/>
          <w:sz w:val="21"/>
          <w:szCs w:val="21"/>
          <w:lang w:val="en-US"/>
          <w14:ligatures w14:val="standardContextual"/>
        </w:rPr>
      </w:pPr>
      <w:r>
        <w:rPr>
          <w:rFonts w:ascii="宋体" w:hAnsi="宋体" w:eastAsia="宋体" w:cstheme="minorBidi"/>
          <w:color w:val="auto"/>
          <w:kern w:val="2"/>
          <w:sz w:val="21"/>
          <w:szCs w:val="21"/>
          <w:lang w:val="en-US"/>
          <w14:ligatures w14:val="standardContextual"/>
        </w:rPr>
        <w:t>在上海交通大学闵行校区</w:t>
      </w:r>
      <w:r>
        <w:rPr>
          <w:rFonts w:hint="eastAsia" w:ascii="宋体" w:hAnsi="宋体" w:eastAsia="宋体" w:cstheme="minorBidi"/>
          <w:color w:val="auto"/>
          <w:kern w:val="2"/>
          <w:sz w:val="21"/>
          <w:szCs w:val="21"/>
          <w:lang w:val="en-US"/>
          <w14:ligatures w14:val="standardContextual"/>
        </w:rPr>
        <w:t>通过校内社群中的问卷发布进行被试招募，统一整理信息、分别联系并安排最终的实验排班，最后筛选出20名年龄在17-23岁、听力正常、母语为普通话的大学生参与实验。我们优先招募了北方方言背景的被试（北京、天津、河北、山西、内蒙古、辽宁、吉林、黑龙江、山东、河南、西藏、陕西、甘肃、青海、宁夏、新疆等16个省份），主要考虑到北方方言区例如官话区，普通话声调系统相对标准，调类与调值更接近普通话规范；南方方言区，主要包括如吴语、粤语区，南方母语者常存在声调范畴的感知迁移效应。</w:t>
      </w:r>
    </w:p>
    <w:p w14:paraId="16386C95">
      <w:pPr>
        <w:pStyle w:val="42"/>
        <w:spacing w:line="240" w:lineRule="auto"/>
        <w:ind w:firstLine="420" w:firstLineChars="200"/>
        <w:rPr>
          <w:rFonts w:ascii="宋体" w:hAnsi="宋体" w:eastAsia="宋体" w:cstheme="minorBidi"/>
          <w:color w:val="auto"/>
          <w:kern w:val="2"/>
          <w:sz w:val="21"/>
          <w:szCs w:val="21"/>
          <w:lang w:val="en-US"/>
          <w14:ligatures w14:val="standardContextual"/>
        </w:rPr>
      </w:pPr>
      <w:r>
        <w:rPr>
          <w:rFonts w:hint="eastAsia" w:ascii="宋体" w:hAnsi="宋体" w:eastAsia="宋体" w:cstheme="minorBidi"/>
          <w:color w:val="auto"/>
          <w:kern w:val="2"/>
          <w:sz w:val="21"/>
          <w:szCs w:val="21"/>
          <w:lang w:val="en-US" w:eastAsia="zh-CN"/>
          <w14:ligatures w14:val="standardContextual"/>
        </w:rPr>
        <w:t>最终的20名被试</w:t>
      </w:r>
      <w:r>
        <w:rPr>
          <w:rFonts w:ascii="宋体" w:hAnsi="宋体" w:eastAsia="宋体" w:cstheme="minorBidi"/>
          <w:color w:val="auto"/>
          <w:kern w:val="2"/>
          <w:sz w:val="21"/>
          <w:szCs w:val="21"/>
          <w:lang w:val="en-US"/>
          <w14:ligatures w14:val="standardContextual"/>
        </w:rPr>
        <w:t>平均年龄18.45岁</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在进行正式实验前对每一位被试进行了听力测试，确保在低频的250-2000Hz频率范围，所有被试的纯音阈值低于或等于20</w:t>
      </w:r>
      <w:r>
        <w:rPr>
          <w:rFonts w:hint="eastAsia" w:ascii="宋体" w:hAnsi="宋体" w:eastAsia="宋体" w:cstheme="minorBidi"/>
          <w:color w:val="auto"/>
          <w:kern w:val="2"/>
          <w:sz w:val="21"/>
          <w:szCs w:val="21"/>
          <w:lang w:val="en-US" w:eastAsia="zh-CN"/>
          <w14:ligatures w14:val="standardContextual"/>
        </w:rPr>
        <w:t>dB</w:t>
      </w:r>
      <w:r>
        <w:rPr>
          <w:rFonts w:ascii="宋体" w:hAnsi="宋体" w:eastAsia="宋体" w:cstheme="minorBidi"/>
          <w:color w:val="auto"/>
          <w:kern w:val="2"/>
          <w:sz w:val="21"/>
          <w:szCs w:val="21"/>
          <w:lang w:val="en-US"/>
          <w14:ligatures w14:val="standardContextual"/>
        </w:rPr>
        <w:t>。</w:t>
      </w:r>
      <w:r>
        <w:rPr>
          <w:rFonts w:hint="eastAsia" w:ascii="宋体" w:hAnsi="宋体" w:eastAsia="宋体" w:cstheme="minorBidi"/>
          <w:color w:val="auto"/>
          <w:kern w:val="2"/>
          <w:sz w:val="21"/>
          <w:szCs w:val="21"/>
          <w:lang w:val="en-US"/>
          <w14:ligatures w14:val="standardContextual"/>
        </w:rPr>
        <w:t>汉语声调的感知主要依赖基频（F0）的变化，而普通话四个声调（阴平55、阳平35、上声214、去声51）的基频范围通常落在100-500Hz之间</w:t>
      </w:r>
      <w:r>
        <w:rPr>
          <w:rFonts w:hint="eastAsia" w:ascii="宋体" w:hAnsi="宋体" w:eastAsia="宋体" w:cstheme="minorBidi"/>
          <w:color w:val="auto"/>
          <w:kern w:val="2"/>
          <w:sz w:val="21"/>
          <w:szCs w:val="21"/>
          <w:vertAlign w:val="superscript"/>
          <w:lang w:val="en-US" w:eastAsia="zh-CN"/>
          <w14:ligatures w14:val="standardContextual"/>
        </w:rPr>
        <w:t>[12]</w:t>
      </w:r>
      <w:r>
        <w:rPr>
          <w:rFonts w:hint="eastAsia" w:ascii="宋体" w:hAnsi="宋体" w:eastAsia="宋体" w:cstheme="minorBidi"/>
          <w:color w:val="auto"/>
          <w:kern w:val="2"/>
          <w:sz w:val="21"/>
          <w:szCs w:val="21"/>
          <w:lang w:val="en-US"/>
          <w14:ligatures w14:val="standardContextual"/>
        </w:rPr>
        <w:t>。低频</w:t>
      </w:r>
      <w:r>
        <w:rPr>
          <w:rFonts w:hint="eastAsia" w:ascii="宋体" w:hAnsi="宋体" w:eastAsia="宋体" w:cstheme="minorBidi"/>
          <w:color w:val="auto"/>
          <w:kern w:val="2"/>
          <w:sz w:val="21"/>
          <w:szCs w:val="21"/>
          <w:lang w:val="en-US" w:eastAsia="zh-CN"/>
          <w14:ligatures w14:val="standardContextual"/>
        </w:rPr>
        <w:t>范围在</w:t>
      </w:r>
      <w:r>
        <w:rPr>
          <w:rFonts w:hint="eastAsia" w:ascii="宋体" w:hAnsi="宋体" w:eastAsia="宋体" w:cstheme="minorBidi"/>
          <w:color w:val="auto"/>
          <w:kern w:val="2"/>
          <w:sz w:val="21"/>
          <w:szCs w:val="21"/>
          <w:lang w:val="en-US"/>
          <w14:ligatures w14:val="standardContextual"/>
        </w:rPr>
        <w:t>250-500Hz</w:t>
      </w:r>
      <w:r>
        <w:rPr>
          <w:rFonts w:hint="eastAsia" w:ascii="宋体" w:hAnsi="宋体" w:eastAsia="宋体" w:cstheme="minorBidi"/>
          <w:color w:val="auto"/>
          <w:kern w:val="2"/>
          <w:sz w:val="21"/>
          <w:szCs w:val="21"/>
          <w:lang w:val="en-US" w:eastAsia="zh-CN"/>
          <w14:ligatures w14:val="standardContextual"/>
        </w:rPr>
        <w:t>之间，该范围间的纯音阈值</w:t>
      </w:r>
      <w:r>
        <w:rPr>
          <w:rFonts w:hint="eastAsia" w:ascii="宋体" w:hAnsi="宋体" w:eastAsia="宋体" w:cstheme="minorBidi"/>
          <w:color w:val="auto"/>
          <w:kern w:val="2"/>
          <w:sz w:val="21"/>
          <w:szCs w:val="21"/>
          <w:lang w:val="en-US"/>
          <w14:ligatures w14:val="standardContextual"/>
        </w:rPr>
        <w:t>直接影响声调调型的感知</w:t>
      </w:r>
      <w:r>
        <w:rPr>
          <w:rFonts w:hint="eastAsia" w:ascii="宋体" w:hAnsi="宋体" w:eastAsia="宋体" w:cstheme="minorBidi"/>
          <w:color w:val="auto"/>
          <w:kern w:val="2"/>
          <w:sz w:val="21"/>
          <w:szCs w:val="21"/>
          <w:lang w:val="en-US" w:eastAsia="zh-CN"/>
          <w14:ligatures w14:val="standardContextual"/>
        </w:rPr>
        <w:t>；</w:t>
      </w:r>
      <w:r>
        <w:rPr>
          <w:rFonts w:hint="eastAsia" w:ascii="宋体" w:hAnsi="宋体" w:eastAsia="宋体" w:cstheme="minorBidi"/>
          <w:color w:val="auto"/>
          <w:kern w:val="2"/>
          <w:sz w:val="21"/>
          <w:szCs w:val="21"/>
          <w:lang w:val="en-US"/>
          <w14:ligatures w14:val="standardContextual"/>
        </w:rPr>
        <w:t>中频</w:t>
      </w:r>
      <w:r>
        <w:rPr>
          <w:rFonts w:hint="eastAsia" w:ascii="宋体" w:hAnsi="宋体" w:eastAsia="宋体" w:cstheme="minorBidi"/>
          <w:color w:val="auto"/>
          <w:kern w:val="2"/>
          <w:sz w:val="21"/>
          <w:szCs w:val="21"/>
          <w:lang w:val="en-US" w:eastAsia="zh-CN"/>
          <w14:ligatures w14:val="standardContextual"/>
        </w:rPr>
        <w:t>的范围在</w:t>
      </w:r>
      <w:r>
        <w:rPr>
          <w:rFonts w:hint="eastAsia" w:ascii="宋体" w:hAnsi="宋体" w:eastAsia="宋体" w:cstheme="minorBidi"/>
          <w:color w:val="auto"/>
          <w:kern w:val="2"/>
          <w:sz w:val="21"/>
          <w:szCs w:val="21"/>
          <w:lang w:val="en-US"/>
          <w14:ligatures w14:val="standardContextual"/>
        </w:rPr>
        <w:t>1000-2000Hz</w:t>
      </w:r>
      <w:r>
        <w:rPr>
          <w:rFonts w:hint="eastAsia" w:ascii="宋体" w:hAnsi="宋体" w:eastAsia="宋体" w:cstheme="minorBidi"/>
          <w:color w:val="auto"/>
          <w:kern w:val="2"/>
          <w:sz w:val="21"/>
          <w:szCs w:val="21"/>
          <w:lang w:val="en-US" w:eastAsia="zh-CN"/>
          <w14:ligatures w14:val="standardContextual"/>
        </w:rPr>
        <w:t>之间，</w:t>
      </w:r>
      <w:r>
        <w:rPr>
          <w:rFonts w:hint="eastAsia" w:ascii="宋体" w:hAnsi="宋体" w:eastAsia="宋体" w:cstheme="minorBidi"/>
          <w:color w:val="auto"/>
          <w:kern w:val="2"/>
          <w:sz w:val="21"/>
          <w:szCs w:val="21"/>
          <w:lang w:val="en-US"/>
          <w14:ligatures w14:val="standardContextual"/>
        </w:rPr>
        <w:t>虽然基频能量较低，但谐波可能携带辅助声调信息，且噪声干扰可能影响整体清晰度。若被试在该频段存在听力损失，可能导致声调轮廓（pitch contour）感知失真，影响实验结果的准确性</w:t>
      </w:r>
      <w:r>
        <w:rPr>
          <w:rFonts w:hint="eastAsia" w:ascii="宋体" w:hAnsi="宋体" w:eastAsia="宋体" w:cstheme="minorBidi"/>
          <w:color w:val="auto"/>
          <w:kern w:val="2"/>
          <w:sz w:val="21"/>
          <w:szCs w:val="21"/>
          <w:vertAlign w:val="superscript"/>
          <w:lang w:val="en-US" w:eastAsia="zh-CN"/>
          <w14:ligatures w14:val="standardContextual"/>
        </w:rPr>
        <w:t>[13]</w:t>
      </w:r>
      <w:r>
        <w:rPr>
          <w:rFonts w:hint="eastAsia" w:ascii="宋体" w:hAnsi="宋体" w:eastAsia="宋体" w:cstheme="minorBidi"/>
          <w:color w:val="auto"/>
          <w:kern w:val="2"/>
          <w:sz w:val="21"/>
          <w:szCs w:val="21"/>
          <w:lang w:val="en-US"/>
          <w14:ligatures w14:val="standardContextual"/>
        </w:rPr>
        <w:t>。</w:t>
      </w:r>
    </w:p>
    <w:p w14:paraId="475EAA4B">
      <w:pPr>
        <w:pStyle w:val="42"/>
        <w:spacing w:line="240" w:lineRule="auto"/>
        <w:ind w:firstLine="420" w:firstLineChars="200"/>
        <w:rPr>
          <w:rFonts w:ascii="黑体" w:hAnsi="黑体" w:eastAsia="黑体"/>
          <w:sz w:val="21"/>
          <w:szCs w:val="21"/>
        </w:rPr>
      </w:pPr>
      <w:r>
        <w:rPr>
          <w:rFonts w:ascii="黑体" w:hAnsi="黑体" w:eastAsia="黑体"/>
          <w:sz w:val="21"/>
          <w:szCs w:val="21"/>
        </w:rPr>
        <w:t>2.2 实验刺激和噪音背景</w:t>
      </w:r>
    </w:p>
    <w:p w14:paraId="4458AC43">
      <w:pPr>
        <w:pStyle w:val="42"/>
        <w:spacing w:line="240" w:lineRule="auto"/>
        <w:ind w:firstLine="420" w:firstLineChars="200"/>
        <w:rPr>
          <w:rFonts w:hint="eastAsia" w:ascii="宋体" w:hAnsi="宋体" w:eastAsia="宋体" w:cstheme="minorBidi"/>
          <w:color w:val="auto"/>
          <w:kern w:val="2"/>
          <w:sz w:val="21"/>
          <w:szCs w:val="21"/>
          <w:lang w:val="en-US"/>
          <w14:ligatures w14:val="standardContextual"/>
        </w:rPr>
      </w:pPr>
      <w:r>
        <w:rPr>
          <w:rFonts w:ascii="宋体" w:hAnsi="宋体" w:eastAsia="宋体" w:cstheme="minorBidi"/>
          <w:color w:val="auto"/>
          <w:kern w:val="2"/>
          <w:sz w:val="21"/>
          <w:szCs w:val="21"/>
          <w:lang w:val="en-US"/>
          <w14:ligatures w14:val="standardContextual"/>
        </w:rPr>
        <w:t>实验需要用到噪音音频和目标音频作为实验刺激。从相关文献可知汉语语音音调区分受振动频率影响，简单总结为一声声调频率基本保持不变，二声声调频率会升高</w:t>
      </w:r>
      <w:r>
        <w:rPr>
          <w:rFonts w:hint="default" w:ascii="宋体" w:hAnsi="宋体" w:eastAsia="宋体" w:cstheme="minorBidi"/>
          <w:color w:val="auto"/>
          <w:kern w:val="2"/>
          <w:sz w:val="21"/>
          <w:szCs w:val="21"/>
          <w:vertAlign w:val="superscript"/>
          <w:lang w:val="en-US"/>
          <w14:ligatures w14:val="standardContextual"/>
        </w:rPr>
        <w:fldChar w:fldCharType="begin"/>
      </w:r>
      <w:r>
        <w:rPr>
          <w:rFonts w:hint="default" w:ascii="宋体" w:hAnsi="宋体" w:eastAsia="宋体" w:cstheme="minorBidi"/>
          <w:color w:val="auto"/>
          <w:kern w:val="2"/>
          <w:sz w:val="21"/>
          <w:szCs w:val="21"/>
          <w:vertAlign w:val="superscript"/>
          <w:lang w:val="en-US"/>
          <w14:ligatures w14:val="standardContextual"/>
        </w:rPr>
        <w:instrText xml:space="preserve"> ADDIN ZOTERO_ITEM CSL_CITATION {"citationID":"lB4fKm2R","properties":{"formattedCitation":"[9]","plainCitation":"[9]","noteIndex":0},"citationItems":[{"id":809,"uris":["http://zotero.org/users/14768194/items/XRH5ZQ2A"],"itemData":{"id":809,"type":"article-journal","abstract":"</w:instrText>
      </w:r>
      <w:r>
        <w:rPr>
          <w:rFonts w:ascii="宋体" w:hAnsi="宋体" w:eastAsia="宋体" w:cstheme="minorBidi"/>
          <w:color w:val="auto"/>
          <w:kern w:val="2"/>
          <w:sz w:val="21"/>
          <w:szCs w:val="21"/>
          <w:vertAlign w:val="superscript"/>
          <w:lang w:val="en-US"/>
          <w14:ligatures w14:val="standardContextual"/>
        </w:rPr>
        <w:instrText xml:space="preserve">语音的声调最能突显个人语气与情感状态</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通过加入声调参数这一特征</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能够有效提高语音合成的逼真度</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使得话语更加具有区分度</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并且有效提高了情感识别和语音识别的准确度</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弥补了语音合成的结果缺乏情感特征以及语音演唱的不足</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采用基频提取的方式分别对汉语一声、二声、三声、四声声调进行分析、研究</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最终采用多项式函数拟合的方法进行声调的重新构建</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从数学角度对语音声调进行分析、重构</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采用三角函数模拟不同时间的语音基频曲线</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将不同频率的曲线进行叠加</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达到了</w:instrText>
      </w:r>
      <w:r>
        <w:rPr>
          <w:rFonts w:hint="default" w:ascii="宋体" w:hAnsi="宋体" w:eastAsia="宋体" w:cstheme="minorBidi"/>
          <w:color w:val="auto"/>
          <w:kern w:val="2"/>
          <w:sz w:val="21"/>
          <w:szCs w:val="21"/>
          <w:vertAlign w:val="superscript"/>
          <w:lang w:val="en-US"/>
          <w14:ligatures w14:val="standardContextual"/>
        </w:rPr>
        <w:instrText xml:space="preserve">95.91</w:instrText>
      </w:r>
      <w:r>
        <w:rPr>
          <w:rFonts w:ascii="宋体" w:hAnsi="宋体" w:eastAsia="宋体" w:cstheme="minorBidi"/>
          <w:color w:val="auto"/>
          <w:kern w:val="2"/>
          <w:sz w:val="21"/>
          <w:szCs w:val="21"/>
          <w:vertAlign w:val="superscript"/>
          <w:lang w:val="en-US"/>
          <w14:ligatures w14:val="standardContextual"/>
        </w:rPr>
        <w:instrText xml:space="preserve">％的满意识别结果</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合成结果表明</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采用函数拟合方法进行带声调的语音合成</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更好地还原了语音的数理本质</w:instrText>
      </w:r>
      <w:r>
        <w:rPr>
          <w:rFonts w:hint="default" w:ascii="宋体" w:hAnsi="宋体" w:eastAsia="宋体" w:cstheme="minorBidi"/>
          <w:color w:val="auto"/>
          <w:kern w:val="2"/>
          <w:sz w:val="21"/>
          <w:szCs w:val="21"/>
          <w:vertAlign w:val="superscript"/>
          <w:lang w:val="en-US"/>
          <w14:ligatures w14:val="standardContextual"/>
        </w:rPr>
        <w:instrText xml:space="preserve">,</w:instrText>
      </w:r>
      <w:r>
        <w:rPr>
          <w:rFonts w:ascii="宋体" w:hAnsi="宋体" w:eastAsia="宋体" w:cstheme="minorBidi"/>
          <w:color w:val="auto"/>
          <w:kern w:val="2"/>
          <w:sz w:val="21"/>
          <w:szCs w:val="21"/>
          <w:vertAlign w:val="superscript"/>
          <w:lang w:val="en-US"/>
          <w14:ligatures w14:val="standardContextual"/>
        </w:rPr>
        <w:instrText xml:space="preserve">使得抽象</w:instrText>
      </w:r>
      <w:r>
        <w:rPr>
          <w:rFonts w:hint="default" w:ascii="宋体" w:hAnsi="宋体" w:eastAsia="宋体" w:cstheme="minorBidi"/>
          <w:color w:val="auto"/>
          <w:kern w:val="2"/>
          <w:sz w:val="21"/>
          <w:szCs w:val="21"/>
          <w:vertAlign w:val="superscript"/>
          <w:lang w:val="en-US"/>
          <w14:ligatures w14:val="standardContextual"/>
        </w:rPr>
        <w:instrText xml:space="preserve">...","container-title":"</w:instrText>
      </w:r>
      <w:r>
        <w:rPr>
          <w:rFonts w:ascii="宋体" w:hAnsi="宋体" w:eastAsia="宋体" w:cstheme="minorBidi"/>
          <w:color w:val="auto"/>
          <w:kern w:val="2"/>
          <w:sz w:val="21"/>
          <w:szCs w:val="21"/>
          <w:vertAlign w:val="superscript"/>
          <w:lang w:val="en-US"/>
          <w14:ligatures w14:val="standardContextual"/>
        </w:rPr>
        <w:instrText xml:space="preserve">计算机应用与软件</w:instrText>
      </w:r>
      <w:r>
        <w:rPr>
          <w:rFonts w:hint="default" w:ascii="宋体" w:hAnsi="宋体" w:eastAsia="宋体" w:cstheme="minorBidi"/>
          <w:color w:val="auto"/>
          <w:kern w:val="2"/>
          <w:sz w:val="21"/>
          <w:szCs w:val="21"/>
          <w:vertAlign w:val="superscript"/>
          <w:lang w:val="en-US"/>
          <w14:ligatures w14:val="standardContextual"/>
        </w:rPr>
        <w:instrText xml:space="preserve">","DOI":"10.3969/j.issn.1000-386x.2022.09.029","ISSN":"1000-386X","issue":"9","note":"CLC: TP3(</w:instrText>
      </w:r>
      <w:r>
        <w:rPr>
          <w:rFonts w:ascii="宋体" w:hAnsi="宋体" w:eastAsia="宋体" w:cstheme="minorBidi"/>
          <w:color w:val="auto"/>
          <w:kern w:val="2"/>
          <w:sz w:val="21"/>
          <w:szCs w:val="21"/>
          <w:vertAlign w:val="superscript"/>
          <w:lang w:val="en-US"/>
          <w14:ligatures w14:val="standardContextual"/>
        </w:rPr>
        <w:instrText xml:space="preserve">计算技术、计算机技术</w:instrText>
      </w:r>
      <w:r>
        <w:rPr>
          <w:rFonts w:hint="default" w:ascii="宋体" w:hAnsi="宋体" w:eastAsia="宋体" w:cstheme="minorBidi"/>
          <w:color w:val="auto"/>
          <w:kern w:val="2"/>
          <w:sz w:val="21"/>
          <w:szCs w:val="21"/>
          <w:vertAlign w:val="superscript"/>
          <w:lang w:val="en-US"/>
          <w14:ligatures w14:val="standardContextual"/>
        </w:rPr>
        <w:instrText xml:space="preserve">)TN912.33(</w:instrText>
      </w:r>
      <w:r>
        <w:rPr>
          <w:rFonts w:ascii="宋体" w:hAnsi="宋体" w:eastAsia="宋体" w:cstheme="minorBidi"/>
          <w:color w:val="auto"/>
          <w:kern w:val="2"/>
          <w:sz w:val="21"/>
          <w:szCs w:val="21"/>
          <w:vertAlign w:val="superscript"/>
          <w:lang w:val="en-US"/>
          <w14:ligatures w14:val="standardContextual"/>
        </w:rPr>
        <w:instrText xml:space="preserve">通信</w:instrText>
      </w:r>
      <w:r>
        <w:rPr>
          <w:rFonts w:hint="default" w:ascii="宋体" w:hAnsi="宋体" w:eastAsia="宋体" w:cstheme="minorBidi"/>
          <w:color w:val="auto"/>
          <w:kern w:val="2"/>
          <w:sz w:val="21"/>
          <w:szCs w:val="21"/>
          <w:vertAlign w:val="superscript"/>
          <w:lang w:val="en-US"/>
          <w14:ligatures w14:val="standardContextual"/>
        </w:rPr>
        <w:instrText xml:space="preserve">)","page":"193-200","source":"Wanfang Data","title":"</w:instrText>
      </w:r>
      <w:r>
        <w:rPr>
          <w:rFonts w:ascii="宋体" w:hAnsi="宋体" w:eastAsia="宋体" w:cstheme="minorBidi"/>
          <w:color w:val="auto"/>
          <w:kern w:val="2"/>
          <w:sz w:val="21"/>
          <w:szCs w:val="21"/>
          <w:vertAlign w:val="superscript"/>
          <w:lang w:val="en-US"/>
          <w14:ligatures w14:val="standardContextual"/>
        </w:rPr>
        <w:instrText xml:space="preserve">函数拟合实现带声调的语音合成</w:instrText>
      </w:r>
      <w:r>
        <w:rPr>
          <w:rFonts w:hint="default" w:ascii="宋体" w:hAnsi="宋体" w:eastAsia="宋体" w:cstheme="minorBidi"/>
          <w:color w:val="auto"/>
          <w:kern w:val="2"/>
          <w:sz w:val="21"/>
          <w:szCs w:val="21"/>
          <w:vertAlign w:val="superscript"/>
          <w:lang w:val="en-US"/>
          <w14:ligatures w14:val="standardContextual"/>
        </w:rPr>
        <w:instrText xml:space="preserve">                                         </w:instrText>
      </w:r>
      <w:r>
        <w:rPr>
          <w:rFonts w:ascii="宋体" w:hAnsi="宋体" w:eastAsia="宋体" w:cstheme="minorBidi"/>
          <w:color w:val="auto"/>
          <w:kern w:val="2"/>
          <w:sz w:val="21"/>
          <w:szCs w:val="21"/>
          <w:vertAlign w:val="superscript"/>
          <w:lang w:val="en-US"/>
          <w14:ligatures w14:val="standardContextual"/>
        </w:rPr>
        <w:instrText xml:space="preserve">文摘阅读</w:instrText>
      </w:r>
      <w:r>
        <w:rPr>
          <w:rFonts w:hint="default" w:ascii="宋体" w:hAnsi="宋体" w:eastAsia="宋体" w:cstheme="minorBidi"/>
          <w:color w:val="auto"/>
          <w:kern w:val="2"/>
          <w:sz w:val="21"/>
          <w:szCs w:val="21"/>
          <w:vertAlign w:val="superscript"/>
          <w:lang w:val="en-US"/>
          <w14:ligatures w14:val="standardContextual"/>
        </w:rPr>
        <w:instrText xml:space="preserve">         68           </w:instrText>
      </w:r>
      <w:r>
        <w:rPr>
          <w:rFonts w:ascii="宋体" w:hAnsi="宋体" w:eastAsia="宋体" w:cstheme="minorBidi"/>
          <w:color w:val="auto"/>
          <w:kern w:val="2"/>
          <w:sz w:val="21"/>
          <w:szCs w:val="21"/>
          <w:vertAlign w:val="superscript"/>
          <w:lang w:val="en-US"/>
          <w14:ligatures w14:val="standardContextual"/>
        </w:rPr>
        <w:instrText xml:space="preserve">下载</w:instrText>
      </w:r>
      <w:r>
        <w:rPr>
          <w:rFonts w:hint="default" w:ascii="宋体" w:hAnsi="宋体" w:eastAsia="宋体" w:cstheme="minorBidi"/>
          <w:color w:val="auto"/>
          <w:kern w:val="2"/>
          <w:sz w:val="21"/>
          <w:szCs w:val="21"/>
          <w:vertAlign w:val="superscript"/>
          <w:lang w:val="en-US"/>
          <w14:ligatures w14:val="standardContextual"/>
        </w:rPr>
        <w:instrText xml:space="preserve">           15         </w:instrText>
      </w:r>
      <w:r>
        <w:rPr>
          <w:rFonts w:ascii="宋体" w:hAnsi="宋体" w:eastAsia="宋体" w:cstheme="minorBidi"/>
          <w:color w:val="auto"/>
          <w:kern w:val="2"/>
          <w:sz w:val="21"/>
          <w:szCs w:val="21"/>
          <w:vertAlign w:val="superscript"/>
          <w:lang w:val="en-US"/>
          <w14:ligatures w14:val="standardContextual"/>
        </w:rPr>
        <w:instrText xml:space="preserve">导出题录</w:instrText>
      </w:r>
      <w:r>
        <w:rPr>
          <w:rFonts w:hint="default" w:ascii="宋体" w:hAnsi="宋体" w:eastAsia="宋体" w:cstheme="minorBidi"/>
          <w:color w:val="auto"/>
          <w:kern w:val="2"/>
          <w:sz w:val="21"/>
          <w:szCs w:val="21"/>
          <w:vertAlign w:val="superscript"/>
          <w:lang w:val="en-US"/>
          <w14:ligatures w14:val="standardContextual"/>
        </w:rPr>
        <w:instrText xml:space="preserve">         20           </w:instrText>
      </w:r>
      <w:r>
        <w:rPr>
          <w:rFonts w:ascii="宋体" w:hAnsi="宋体" w:eastAsia="宋体" w:cstheme="minorBidi"/>
          <w:color w:val="auto"/>
          <w:kern w:val="2"/>
          <w:sz w:val="21"/>
          <w:szCs w:val="21"/>
          <w:vertAlign w:val="superscript"/>
          <w:lang w:val="en-US"/>
          <w14:ligatures w14:val="standardContextual"/>
        </w:rPr>
        <w:instrText xml:space="preserve">被引</w:instrText>
      </w:r>
      <w:r>
        <w:rPr>
          <w:rFonts w:hint="default" w:ascii="宋体" w:hAnsi="宋体" w:eastAsia="宋体" w:cstheme="minorBidi"/>
          <w:color w:val="auto"/>
          <w:kern w:val="2"/>
          <w:sz w:val="21"/>
          <w:szCs w:val="21"/>
          <w:vertAlign w:val="superscript"/>
          <w:lang w:val="en-US"/>
          <w14:ligatures w14:val="standardContextual"/>
        </w:rPr>
        <w:instrText xml:space="preserve">         3","volume":"39","author":[{"literal":"</w:instrText>
      </w:r>
      <w:r>
        <w:rPr>
          <w:rFonts w:ascii="宋体" w:hAnsi="宋体" w:eastAsia="宋体" w:cstheme="minorBidi"/>
          <w:color w:val="auto"/>
          <w:kern w:val="2"/>
          <w:sz w:val="21"/>
          <w:szCs w:val="21"/>
          <w:vertAlign w:val="superscript"/>
          <w:lang w:val="en-US"/>
          <w14:ligatures w14:val="standardContextual"/>
        </w:rPr>
        <w:instrText xml:space="preserve">李建文</w:instrText>
      </w:r>
      <w:r>
        <w:rPr>
          <w:rFonts w:hint="default" w:ascii="宋体" w:hAnsi="宋体" w:eastAsia="宋体" w:cstheme="minorBidi"/>
          <w:color w:val="auto"/>
          <w:kern w:val="2"/>
          <w:sz w:val="21"/>
          <w:szCs w:val="21"/>
          <w:vertAlign w:val="superscript"/>
          <w:lang w:val="en-US"/>
          <w14:ligatures w14:val="standardContextual"/>
        </w:rPr>
        <w:instrText xml:space="preserve">"},{"literal":"</w:instrText>
      </w:r>
      <w:r>
        <w:rPr>
          <w:rFonts w:ascii="宋体" w:hAnsi="宋体" w:eastAsia="宋体" w:cstheme="minorBidi"/>
          <w:color w:val="auto"/>
          <w:kern w:val="2"/>
          <w:sz w:val="21"/>
          <w:szCs w:val="21"/>
          <w:vertAlign w:val="superscript"/>
          <w:lang w:val="en-US"/>
          <w14:ligatures w14:val="standardContextual"/>
        </w:rPr>
        <w:instrText xml:space="preserve">王咿卜</w:instrText>
      </w:r>
      <w:r>
        <w:rPr>
          <w:rFonts w:hint="default" w:ascii="宋体" w:hAnsi="宋体" w:eastAsia="宋体" w:cstheme="minorBidi"/>
          <w:color w:val="auto"/>
          <w:kern w:val="2"/>
          <w:sz w:val="21"/>
          <w:szCs w:val="21"/>
          <w:vertAlign w:val="superscript"/>
          <w:lang w:val="en-US"/>
          <w14:ligatures w14:val="standardContextual"/>
        </w:rPr>
        <w:instrText xml:space="preserve">"}],"issued":{"date-parts":[["2022"]]}}}],"schema":"https://github.com/citation-style-language/schema/raw/master/csl-citation.json"} </w:instrText>
      </w:r>
      <w:r>
        <w:rPr>
          <w:rFonts w:hint="default" w:ascii="宋体" w:hAnsi="宋体" w:eastAsia="宋体" w:cstheme="minorBidi"/>
          <w:color w:val="auto"/>
          <w:kern w:val="2"/>
          <w:sz w:val="21"/>
          <w:szCs w:val="21"/>
          <w:vertAlign w:val="superscript"/>
          <w:lang w:val="en-US"/>
          <w14:ligatures w14:val="standardContextual"/>
        </w:rPr>
        <w:fldChar w:fldCharType="separate"/>
      </w:r>
      <w:r>
        <w:rPr>
          <w:rFonts w:hint="default" w:ascii="宋体" w:hAnsi="宋体" w:eastAsia="宋体" w:cstheme="minorBidi"/>
          <w:color w:val="auto"/>
          <w:kern w:val="2"/>
          <w:sz w:val="21"/>
          <w:szCs w:val="21"/>
          <w:vertAlign w:val="superscript"/>
          <w:lang w:val="en-US"/>
          <w14:ligatures w14:val="standardContextual"/>
        </w:rPr>
        <w:t>[</w:t>
      </w:r>
      <w:r>
        <w:rPr>
          <w:rFonts w:hint="eastAsia" w:ascii="宋体" w:hAnsi="宋体" w:eastAsia="宋体" w:cstheme="minorBidi"/>
          <w:color w:val="auto"/>
          <w:kern w:val="2"/>
          <w:sz w:val="21"/>
          <w:szCs w:val="21"/>
          <w:vertAlign w:val="superscript"/>
          <w:lang w:val="en-US" w:eastAsia="zh-CN"/>
          <w14:ligatures w14:val="standardContextual"/>
        </w:rPr>
        <w:t>14</w:t>
      </w:r>
      <w:r>
        <w:rPr>
          <w:rFonts w:hint="default" w:ascii="宋体" w:hAnsi="宋体" w:eastAsia="宋体" w:cstheme="minorBidi"/>
          <w:color w:val="auto"/>
          <w:kern w:val="2"/>
          <w:sz w:val="21"/>
          <w:szCs w:val="21"/>
          <w:vertAlign w:val="superscript"/>
          <w:lang w:val="en-US"/>
          <w14:ligatures w14:val="standardContextual"/>
        </w:rPr>
        <w:t>]</w:t>
      </w:r>
      <w:r>
        <w:rPr>
          <w:rFonts w:hint="default" w:ascii="宋体" w:hAnsi="宋体" w:eastAsia="宋体" w:cstheme="minorBidi"/>
          <w:color w:val="auto"/>
          <w:kern w:val="2"/>
          <w:sz w:val="21"/>
          <w:szCs w:val="21"/>
          <w:vertAlign w:val="superscript"/>
          <w:lang w:val="en-US"/>
          <w14:ligatures w14:val="standardContextual"/>
        </w:rPr>
        <w:fldChar w:fldCharType="end"/>
      </w:r>
      <w:r>
        <w:rPr>
          <w:rFonts w:ascii="宋体" w:hAnsi="宋体" w:eastAsia="宋体" w:cstheme="minorBidi"/>
          <w:color w:val="auto"/>
          <w:kern w:val="2"/>
          <w:sz w:val="21"/>
          <w:szCs w:val="21"/>
          <w:lang w:val="en-US"/>
          <w14:ligatures w14:val="standardContextual"/>
        </w:rPr>
        <w:t>。</w:t>
      </w:r>
      <w:r>
        <w:rPr>
          <w:rFonts w:hint="eastAsia" w:ascii="宋体" w:hAnsi="宋体" w:eastAsia="宋体" w:cstheme="minorBidi"/>
          <w:color w:val="auto"/>
          <w:kern w:val="2"/>
          <w:sz w:val="21"/>
          <w:szCs w:val="21"/>
          <w:lang w:val="en-US"/>
          <w14:ligatures w14:val="standardContextual"/>
        </w:rPr>
        <w:t>在确定目标音频方面，本研究采用计算机合成技术Praat语音合成软件生成了11个目标音频样本，这些样本的F0在180-230 Hz范围内以5 Hz为步幅均匀分布（即180,185,190...230 Hz），构建了一个完整的声调连续体</w:t>
      </w:r>
      <w:r>
        <w:rPr>
          <w:rFonts w:hint="eastAsia" w:ascii="宋体" w:hAnsi="宋体" w:eastAsia="宋体" w:cstheme="minorBidi"/>
          <w:color w:val="auto"/>
          <w:kern w:val="2"/>
          <w:sz w:val="21"/>
          <w:szCs w:val="21"/>
          <w:lang w:val="en-US" w:eastAsia="zh-CN"/>
          <w14:ligatures w14:val="standardContextual"/>
        </w:rPr>
        <w:t>，模拟出类似ā和á的听感，并且目标音频响度也保持一致</w:t>
      </w:r>
      <w:r>
        <w:rPr>
          <w:rFonts w:hint="eastAsia" w:ascii="宋体" w:hAnsi="宋体" w:eastAsia="宋体" w:cstheme="minorBidi"/>
          <w:color w:val="auto"/>
          <w:kern w:val="2"/>
          <w:sz w:val="21"/>
          <w:szCs w:val="21"/>
          <w:lang w:val="en-US"/>
          <w14:ligatures w14:val="standardContextual"/>
        </w:rPr>
        <w:t>。所有样本的持续时间统一设置为200ms，以排除时长因素对感知结果的干扰。</w:t>
      </w:r>
    </w:p>
    <w:p w14:paraId="46EDCB3C">
      <w:pPr>
        <w:pStyle w:val="42"/>
        <w:spacing w:line="240" w:lineRule="auto"/>
        <w:ind w:firstLine="420" w:firstLineChars="200"/>
        <w:rPr>
          <w:rFonts w:ascii="宋体" w:hAnsi="宋体" w:eastAsia="宋体" w:cstheme="minorBidi"/>
          <w:color w:val="auto"/>
          <w:kern w:val="2"/>
          <w:sz w:val="21"/>
          <w:szCs w:val="21"/>
          <w:lang w:val="en-US"/>
          <w14:ligatures w14:val="standardContextual"/>
        </w:rPr>
      </w:pPr>
      <w:r>
        <w:rPr>
          <w:rFonts w:hint="eastAsia" w:ascii="宋体" w:hAnsi="宋体" w:eastAsia="宋体" w:cstheme="minorBidi"/>
          <w:color w:val="auto"/>
          <w:kern w:val="2"/>
          <w:sz w:val="21"/>
          <w:szCs w:val="21"/>
          <w:lang w:val="en-US"/>
          <w14:ligatures w14:val="standardContextual"/>
        </w:rPr>
        <w:t>在噪音环境模拟方面，为了确保实验材料的生态效度，我们在上海交通大学闵行校区食堂实地录制了典型用餐时段的背景噪声，这些原始录音包含了餐具碰撞声、多人交谈声等真实环境中的复合噪声特征。随后使用Adobe Audition进行降噪与均衡处理</w:t>
      </w:r>
      <w:r>
        <w:rPr>
          <w:rFonts w:hint="eastAsia" w:ascii="宋体" w:hAnsi="宋体" w:eastAsia="宋体" w:cstheme="minorBidi"/>
          <w:color w:val="auto"/>
          <w:kern w:val="2"/>
          <w:sz w:val="21"/>
          <w:szCs w:val="21"/>
          <w:lang w:val="en-US" w:eastAsia="zh-CN"/>
          <w14:ligatures w14:val="standardContextual"/>
        </w:rPr>
        <w:t>,在实验进行中播放的噪音音量始终为70dB</w:t>
      </w:r>
      <w:r>
        <w:rPr>
          <w:rFonts w:hint="eastAsia" w:ascii="宋体" w:hAnsi="宋体" w:eastAsia="宋体" w:cstheme="minorBidi"/>
          <w:color w:val="auto"/>
          <w:kern w:val="2"/>
          <w:sz w:val="21"/>
          <w:szCs w:val="21"/>
          <w:lang w:val="en-US"/>
          <w14:ligatures w14:val="standardContextual"/>
        </w:rPr>
        <w:t>。这种基于真实环境噪声的模拟方法，既保留了日常噪声环境的复杂性，又能实现对声学参数的精确控制。</w:t>
      </w:r>
    </w:p>
    <w:p w14:paraId="26248B8D">
      <w:pPr>
        <w:pStyle w:val="42"/>
        <w:spacing w:line="240" w:lineRule="auto"/>
        <w:ind w:firstLine="420" w:firstLineChars="200"/>
        <w:rPr>
          <w:rFonts w:ascii="黑体" w:hAnsi="黑体" w:eastAsia="黑体"/>
          <w:sz w:val="21"/>
          <w:szCs w:val="21"/>
        </w:rPr>
      </w:pPr>
      <w:r>
        <w:rPr>
          <w:rFonts w:ascii="黑体" w:hAnsi="黑体" w:eastAsia="黑体"/>
          <w:sz w:val="21"/>
          <w:szCs w:val="21"/>
        </w:rPr>
        <w:t>2.3 实验地点</w:t>
      </w:r>
    </w:p>
    <w:p w14:paraId="22307E0D">
      <w:pPr>
        <w:pStyle w:val="42"/>
        <w:spacing w:line="240" w:lineRule="auto"/>
        <w:ind w:firstLine="420" w:firstLineChars="200"/>
        <w:rPr>
          <w:rFonts w:ascii="宋体" w:hAnsi="宋体" w:eastAsia="宋体"/>
          <w:sz w:val="21"/>
          <w:szCs w:val="21"/>
        </w:rPr>
      </w:pPr>
      <w:r>
        <w:rPr>
          <w:rFonts w:ascii="宋体" w:hAnsi="宋体" w:eastAsia="宋体" w:cstheme="minorBidi"/>
          <w:color w:val="auto"/>
          <w:kern w:val="2"/>
          <w:sz w:val="21"/>
          <w:szCs w:val="21"/>
          <w:lang w:val="en-US"/>
          <w14:ligatures w14:val="standardContextual"/>
        </w:rPr>
        <w:t>实验地点为上海交通大学外国语学院杨咏曼楼103声场实验室。实验室语音室内为降噪安静环境，设置上中下三层，每层各六处给声喇叭等距排布，由语音室外实验者操作控制，可用于模拟真实声场条件。被试坐在声场中心，正前方放置一台由实验者投屏的触控显示屏，供被试根据提示进行操作，并记录测试数据。</w:t>
      </w:r>
      <w:r>
        <w:rPr>
          <w:rFonts w:ascii="宋体" w:hAnsi="宋体" w:eastAsia="宋体"/>
          <w:sz w:val="21"/>
          <w:szCs w:val="21"/>
        </w:rPr>
        <w:t xml:space="preserve">   </w:t>
      </w:r>
    </w:p>
    <w:p w14:paraId="39606ED2">
      <w:pPr>
        <w:pStyle w:val="42"/>
        <w:spacing w:line="240" w:lineRule="auto"/>
        <w:ind w:firstLine="420" w:firstLineChars="200"/>
        <w:rPr>
          <w:rFonts w:ascii="黑体" w:hAnsi="黑体" w:eastAsia="黑体"/>
          <w:sz w:val="21"/>
          <w:szCs w:val="21"/>
        </w:rPr>
      </w:pPr>
      <w:r>
        <w:rPr>
          <w:rFonts w:ascii="黑体" w:hAnsi="黑体" w:eastAsia="黑体"/>
          <w:sz w:val="21"/>
          <w:szCs w:val="21"/>
        </w:rPr>
        <w:t>2.4 实验条件预备</w:t>
      </w:r>
    </w:p>
    <w:p w14:paraId="7F9264C9">
      <w:pPr>
        <w:pStyle w:val="42"/>
        <w:spacing w:line="240" w:lineRule="auto"/>
        <w:ind w:firstLine="420" w:firstLineChars="200"/>
        <w:rPr>
          <w:rFonts w:ascii="宋体" w:hAnsi="宋体" w:eastAsia="宋体" w:cstheme="minorBidi"/>
          <w:color w:val="auto"/>
          <w:kern w:val="2"/>
          <w:sz w:val="21"/>
          <w:szCs w:val="21"/>
          <w:lang w:val="en-US"/>
          <w14:ligatures w14:val="standardContextual"/>
        </w:rPr>
      </w:pPr>
      <w:r>
        <w:rPr>
          <w:rFonts w:ascii="宋体" w:hAnsi="宋体" w:eastAsia="宋体" w:cstheme="minorBidi"/>
          <w:color w:val="auto"/>
          <w:kern w:val="2"/>
          <w:sz w:val="21"/>
          <w:szCs w:val="21"/>
          <w:lang w:val="en-US"/>
          <w14:ligatures w14:val="standardContextual"/>
        </w:rPr>
        <w:t>运用Matlab作为工具设计实验所需的计算机程序。程序面板分为四个区域：音量校准区、条件选择区、信息采集区和实验控制区。为确保实验的严谨性，在每一次实验开始前，试验者均会通过声级计和音量校准区的计算机程序代码对语音室进行音量校准，以确保每一次实验的噪音音量保持在同一个声级，即70</w:t>
      </w:r>
      <w:r>
        <w:rPr>
          <w:rFonts w:hint="eastAsia" w:ascii="宋体" w:hAnsi="宋体" w:eastAsia="宋体" w:cstheme="minorBidi"/>
          <w:color w:val="auto"/>
          <w:kern w:val="2"/>
          <w:sz w:val="21"/>
          <w:szCs w:val="21"/>
          <w:lang w:val="en-US" w:eastAsia="zh-CN"/>
          <w14:ligatures w14:val="standardContextual"/>
        </w:rPr>
        <w:t>dB</w:t>
      </w:r>
      <w:r>
        <w:rPr>
          <w:rFonts w:ascii="宋体" w:hAnsi="宋体" w:eastAsia="宋体" w:cstheme="minorBidi"/>
          <w:color w:val="auto"/>
          <w:kern w:val="2"/>
          <w:sz w:val="21"/>
          <w:szCs w:val="21"/>
          <w:lang w:val="en-US"/>
          <w14:ligatures w14:val="standardContextual"/>
        </w:rPr>
        <w:t>。</w:t>
      </w:r>
    </w:p>
    <w:p w14:paraId="5F18A217">
      <w:pPr>
        <w:pStyle w:val="42"/>
        <w:spacing w:line="240" w:lineRule="auto"/>
        <w:ind w:firstLine="420" w:firstLineChars="200"/>
        <w:rPr>
          <w:rFonts w:ascii="宋体" w:hAnsi="宋体" w:eastAsia="宋体" w:cstheme="minorBidi"/>
          <w:color w:val="auto"/>
          <w:kern w:val="2"/>
          <w:sz w:val="21"/>
          <w:szCs w:val="21"/>
          <w:lang w:val="en-US"/>
          <w14:ligatures w14:val="standardContextual"/>
        </w:rPr>
      </w:pPr>
      <w:r>
        <w:rPr>
          <w:rFonts w:ascii="宋体" w:hAnsi="宋体" w:eastAsia="宋体" w:cstheme="minorBidi"/>
          <w:color w:val="auto"/>
          <w:kern w:val="2"/>
          <w:sz w:val="21"/>
          <w:szCs w:val="21"/>
          <w:lang w:val="en-US"/>
          <w14:ligatures w14:val="standardContextual"/>
        </w:rPr>
        <w:t>实验选择区分别设置两组选项：</w:t>
      </w:r>
      <w:r>
        <w:rPr>
          <w:rFonts w:hint="eastAsia" w:ascii="宋体" w:hAnsi="宋体" w:eastAsia="宋体" w:cstheme="minorBidi"/>
          <w:color w:val="auto"/>
          <w:kern w:val="2"/>
          <w:sz w:val="21"/>
          <w:szCs w:val="21"/>
          <w:lang w:val="en-US" w:eastAsia="zh-CN"/>
          <w14:ligatures w14:val="standardContextual"/>
        </w:rPr>
        <w:t>SNR</w:t>
      </w:r>
      <w:r>
        <w:rPr>
          <w:rFonts w:ascii="宋体" w:hAnsi="宋体" w:eastAsia="宋体" w:cstheme="minorBidi"/>
          <w:color w:val="auto"/>
          <w:kern w:val="2"/>
          <w:sz w:val="21"/>
          <w:szCs w:val="21"/>
          <w:lang w:val="en-US"/>
          <w14:ligatures w14:val="standardContextual"/>
        </w:rPr>
        <w:t>以及噪音来源方向</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实验者需在每组实验开始前确认对应实验条件。每组实验开始时被试需在信息采集区填入对应的姓名代号（为保护被试隐私，代号取用姓名前两个字拼音的前两位，举例来说，张三的代号是ZhSa）</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年龄、性别。实验控制区设置</w:t>
      </w:r>
      <w:r>
        <w:rPr>
          <w:rFonts w:hint="default" w:ascii="宋体" w:hAnsi="宋体" w:eastAsia="宋体" w:cstheme="minorBidi"/>
          <w:color w:val="auto"/>
          <w:kern w:val="2"/>
          <w:sz w:val="21"/>
          <w:szCs w:val="21"/>
          <w:lang w:val="en-US"/>
          <w14:ligatures w14:val="standardContextual"/>
        </w:rPr>
        <w:t>“</w:t>
      </w:r>
      <w:r>
        <w:rPr>
          <w:rFonts w:ascii="宋体" w:hAnsi="宋体" w:eastAsia="宋体" w:cstheme="minorBidi"/>
          <w:color w:val="auto"/>
          <w:kern w:val="2"/>
          <w:sz w:val="21"/>
          <w:szCs w:val="21"/>
          <w:lang w:val="en-US"/>
          <w14:ligatures w14:val="standardContextual"/>
        </w:rPr>
        <w:t>开始</w:t>
      </w:r>
      <w:r>
        <w:rPr>
          <w:rFonts w:hint="default" w:ascii="宋体" w:hAnsi="宋体" w:eastAsia="宋体" w:cstheme="minorBidi"/>
          <w:color w:val="auto"/>
          <w:kern w:val="2"/>
          <w:sz w:val="21"/>
          <w:szCs w:val="21"/>
          <w:lang w:val="en-US"/>
          <w14:ligatures w14:val="standardContextual"/>
        </w:rPr>
        <w:t>”</w:t>
      </w:r>
      <w:r>
        <w:rPr>
          <w:rFonts w:ascii="宋体" w:hAnsi="宋体" w:eastAsia="宋体" w:cstheme="minorBidi"/>
          <w:color w:val="auto"/>
          <w:kern w:val="2"/>
          <w:sz w:val="21"/>
          <w:szCs w:val="21"/>
          <w:lang w:val="en-US"/>
          <w14:ligatures w14:val="standardContextual"/>
        </w:rPr>
        <w:t>和</w:t>
      </w:r>
      <w:r>
        <w:rPr>
          <w:rFonts w:hint="default" w:ascii="宋体" w:hAnsi="宋体" w:eastAsia="宋体" w:cstheme="minorBidi"/>
          <w:color w:val="auto"/>
          <w:kern w:val="2"/>
          <w:sz w:val="21"/>
          <w:szCs w:val="21"/>
          <w:lang w:val="en-US"/>
          <w14:ligatures w14:val="standardContextual"/>
        </w:rPr>
        <w:t>“</w:t>
      </w:r>
      <w:r>
        <w:rPr>
          <w:rFonts w:ascii="宋体" w:hAnsi="宋体" w:eastAsia="宋体" w:cstheme="minorBidi"/>
          <w:color w:val="auto"/>
          <w:kern w:val="2"/>
          <w:sz w:val="21"/>
          <w:szCs w:val="21"/>
          <w:lang w:val="en-US"/>
          <w14:ligatures w14:val="standardContextual"/>
        </w:rPr>
        <w:t>练习</w:t>
      </w:r>
      <w:r>
        <w:rPr>
          <w:rFonts w:hint="default" w:ascii="宋体" w:hAnsi="宋体" w:eastAsia="宋体" w:cstheme="minorBidi"/>
          <w:color w:val="auto"/>
          <w:kern w:val="2"/>
          <w:sz w:val="21"/>
          <w:szCs w:val="21"/>
          <w:lang w:val="en-US"/>
          <w14:ligatures w14:val="standardContextual"/>
        </w:rPr>
        <w:t>”</w:t>
      </w:r>
      <w:r>
        <w:rPr>
          <w:rFonts w:ascii="宋体" w:hAnsi="宋体" w:eastAsia="宋体" w:cstheme="minorBidi"/>
          <w:color w:val="auto"/>
          <w:kern w:val="2"/>
          <w:sz w:val="21"/>
          <w:szCs w:val="21"/>
          <w:lang w:val="en-US"/>
          <w14:ligatures w14:val="standardContextual"/>
        </w:rPr>
        <w:t>两个按钮，用于正式开始实验。</w:t>
      </w:r>
    </w:p>
    <w:p w14:paraId="4F0F27B1">
      <w:pPr>
        <w:pStyle w:val="42"/>
        <w:spacing w:line="240" w:lineRule="auto"/>
        <w:ind w:firstLine="420" w:firstLineChars="200"/>
        <w:rPr>
          <w:rFonts w:ascii="黑体" w:hAnsi="黑体" w:eastAsia="黑体"/>
          <w:sz w:val="21"/>
          <w:szCs w:val="21"/>
        </w:rPr>
      </w:pPr>
      <w:r>
        <w:rPr>
          <w:rFonts w:ascii="黑体" w:hAnsi="黑体" w:eastAsia="黑体"/>
          <w:sz w:val="21"/>
          <w:szCs w:val="21"/>
        </w:rPr>
        <w:t>2.5 实验自变量控制</w:t>
      </w:r>
    </w:p>
    <w:p w14:paraId="2EBAB9F2">
      <w:pPr>
        <w:pStyle w:val="42"/>
        <w:spacing w:line="240" w:lineRule="auto"/>
        <w:ind w:firstLine="420" w:firstLineChars="200"/>
        <w:rPr>
          <w:rFonts w:ascii="宋体" w:hAnsi="宋体" w:eastAsia="宋体" w:cstheme="minorBidi"/>
          <w:color w:val="auto"/>
          <w:kern w:val="2"/>
          <w:sz w:val="21"/>
          <w:szCs w:val="21"/>
          <w:lang w:val="en-US"/>
          <w14:ligatures w14:val="standardContextual"/>
        </w:rPr>
      </w:pPr>
      <w:r>
        <w:rPr>
          <w:rFonts w:ascii="宋体" w:hAnsi="宋体" w:eastAsia="宋体" w:cstheme="minorBidi"/>
          <w:color w:val="auto"/>
          <w:kern w:val="2"/>
          <w:sz w:val="21"/>
          <w:szCs w:val="21"/>
          <w:lang w:val="en-US"/>
          <w14:ligatures w14:val="standardContextual"/>
        </w:rPr>
        <w:t>本实验设置两个自变量，SNR和噪音来源方向。SNR为信号音和噪音的声级比率，实验控制噪音音量始终为70</w:t>
      </w:r>
      <w:r>
        <w:rPr>
          <w:rFonts w:hint="eastAsia" w:ascii="宋体" w:hAnsi="宋体" w:eastAsia="宋体" w:cstheme="minorBidi"/>
          <w:color w:val="auto"/>
          <w:kern w:val="2"/>
          <w:sz w:val="21"/>
          <w:szCs w:val="21"/>
          <w:lang w:val="en-US" w:eastAsia="zh-CN"/>
          <w14:ligatures w14:val="standardContextual"/>
        </w:rPr>
        <w:t>dB</w:t>
      </w:r>
      <w:r>
        <w:rPr>
          <w:rFonts w:ascii="宋体" w:hAnsi="宋体" w:eastAsia="宋体" w:cstheme="minorBidi"/>
          <w:color w:val="auto"/>
          <w:kern w:val="2"/>
          <w:sz w:val="21"/>
          <w:szCs w:val="21"/>
          <w:lang w:val="en-US"/>
          <w14:ligatures w14:val="standardContextual"/>
        </w:rPr>
        <w:t>，调节SNR仅需调节信号音音量，即目标音频响度，在利用声级计确认实验室噪音为70</w:t>
      </w:r>
      <w:r>
        <w:rPr>
          <w:rFonts w:hint="eastAsia" w:ascii="宋体" w:hAnsi="宋体" w:eastAsia="宋体" w:cstheme="minorBidi"/>
          <w:color w:val="auto"/>
          <w:kern w:val="2"/>
          <w:sz w:val="21"/>
          <w:szCs w:val="21"/>
          <w:lang w:val="en-US" w:eastAsia="zh-CN"/>
          <w14:ligatures w14:val="standardContextual"/>
        </w:rPr>
        <w:t>dB</w:t>
      </w:r>
      <w:r>
        <w:rPr>
          <w:rFonts w:ascii="宋体" w:hAnsi="宋体" w:eastAsia="宋体" w:cstheme="minorBidi"/>
          <w:color w:val="auto"/>
          <w:kern w:val="2"/>
          <w:sz w:val="21"/>
          <w:szCs w:val="21"/>
          <w:lang w:val="en-US"/>
          <w14:ligatures w14:val="standardContextual"/>
        </w:rPr>
        <w:t>后即可通过计算机程序点选目标音频音量实现SNR的条件设置。</w:t>
      </w:r>
    </w:p>
    <w:p w14:paraId="57E16EE6">
      <w:pPr>
        <w:pStyle w:val="42"/>
        <w:spacing w:line="240" w:lineRule="auto"/>
        <w:ind w:firstLine="420" w:firstLineChars="200"/>
        <w:rPr>
          <w:rFonts w:ascii="宋体" w:hAnsi="宋体" w:eastAsia="宋体" w:cstheme="minorBidi"/>
          <w:color w:val="auto"/>
          <w:kern w:val="2"/>
          <w:sz w:val="21"/>
          <w:szCs w:val="21"/>
          <w:lang w:val="en-US"/>
          <w14:ligatures w14:val="standardContextual"/>
        </w:rPr>
      </w:pPr>
      <w:r>
        <w:rPr>
          <w:rFonts w:hint="eastAsia" w:ascii="宋体" w:hAnsi="宋体" w:eastAsia="宋体" w:cstheme="minorBidi"/>
          <w:color w:val="auto"/>
          <w:kern w:val="2"/>
          <w:sz w:val="21"/>
          <w:szCs w:val="21"/>
          <w:lang w:val="en-US"/>
          <w14:ligatures w14:val="standardContextual"/>
        </w:rPr>
        <w:t>为了构造声源空间配置的自变量，</w:t>
      </w:r>
      <w:r>
        <w:rPr>
          <w:rFonts w:hint="eastAsia" w:ascii="宋体" w:hAnsi="宋体" w:eastAsia="宋体" w:cstheme="minorBidi"/>
          <w:color w:val="auto"/>
          <w:kern w:val="2"/>
          <w:sz w:val="21"/>
          <w:szCs w:val="21"/>
          <w:lang w:val="en-US" w:eastAsia="zh-CN"/>
          <w14:ligatures w14:val="standardContextual"/>
        </w:rPr>
        <w:t>本试验将会考虑</w:t>
      </w:r>
      <w:r>
        <w:rPr>
          <w:rFonts w:hint="eastAsia" w:ascii="宋体" w:hAnsi="宋体" w:eastAsia="宋体" w:cstheme="minorBidi"/>
          <w:color w:val="auto"/>
          <w:kern w:val="2"/>
          <w:sz w:val="21"/>
          <w:szCs w:val="21"/>
          <w:lang w:val="en-US"/>
          <w14:ligatures w14:val="standardContextual"/>
        </w:rPr>
        <w:t>共位（collocated）和分散（diffused）两种条件</w:t>
      </w:r>
      <w:r>
        <w:rPr>
          <w:rFonts w:hint="eastAsia" w:ascii="宋体" w:hAnsi="宋体" w:eastAsia="宋体" w:cstheme="minorBidi"/>
          <w:color w:val="auto"/>
          <w:kern w:val="2"/>
          <w:sz w:val="21"/>
          <w:szCs w:val="21"/>
          <w:lang w:val="en-US" w:eastAsia="zh-CN"/>
          <w14:ligatures w14:val="standardContextual"/>
        </w:rPr>
        <w:t>，所以也将</w:t>
      </w:r>
      <w:r>
        <w:rPr>
          <w:rFonts w:ascii="宋体" w:hAnsi="宋体" w:eastAsia="宋体" w:cstheme="minorBidi"/>
          <w:color w:val="auto"/>
          <w:kern w:val="2"/>
          <w:sz w:val="21"/>
          <w:szCs w:val="21"/>
          <w:lang w:val="en-US"/>
          <w14:ligatures w14:val="standardContextual"/>
        </w:rPr>
        <w:t>噪音来源方向条件分为两类：单向噪音和环绕式噪音</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目标音的给声喇叭始终位于被试正前方。单向噪音的噪音音频仅由被试正前方的给声喇叭给出</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环绕式噪音由（以被试正前方为0</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方向）60</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方向、180</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方向和300</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方向三个等距给声喇叭给出。进行实验过程中，被试均不会被告知所听到的声音音频由哪个或哪些音响发出。</w:t>
      </w:r>
    </w:p>
    <w:p w14:paraId="7E68436B">
      <w:pPr>
        <w:pStyle w:val="42"/>
        <w:spacing w:line="240" w:lineRule="auto"/>
        <w:ind w:firstLine="420" w:firstLineChars="200"/>
        <w:rPr>
          <w:rFonts w:ascii="黑体" w:hAnsi="黑体" w:eastAsia="黑体"/>
          <w:sz w:val="21"/>
          <w:szCs w:val="21"/>
        </w:rPr>
      </w:pPr>
      <w:r>
        <w:rPr>
          <w:rFonts w:ascii="黑体" w:hAnsi="黑体" w:eastAsia="黑体"/>
          <w:sz w:val="21"/>
          <w:szCs w:val="21"/>
        </w:rPr>
        <w:t>2.6 实验程序</w:t>
      </w:r>
    </w:p>
    <w:p w14:paraId="00EF6639">
      <w:pPr>
        <w:pStyle w:val="42"/>
        <w:spacing w:line="240" w:lineRule="auto"/>
        <w:ind w:firstLine="420" w:firstLineChars="200"/>
        <w:rPr>
          <w:rFonts w:ascii="宋体" w:hAnsi="宋体" w:eastAsia="宋体" w:cstheme="minorBidi"/>
          <w:color w:val="auto"/>
          <w:kern w:val="2"/>
          <w:sz w:val="21"/>
          <w:szCs w:val="21"/>
          <w:lang w:val="en-US"/>
          <w14:ligatures w14:val="standardContextual"/>
        </w:rPr>
      </w:pPr>
      <w:r>
        <w:rPr>
          <w:rFonts w:ascii="宋体" w:hAnsi="宋体" w:eastAsia="宋体" w:cstheme="minorBidi"/>
          <w:color w:val="auto"/>
          <w:kern w:val="2"/>
          <w:sz w:val="21"/>
          <w:szCs w:val="21"/>
          <w:lang w:val="en-US"/>
          <w14:ligatures w14:val="standardContextual"/>
        </w:rPr>
        <w:t>实验采用封闭式判断选择设计</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显示屏给出</w:t>
      </w:r>
      <w:r>
        <w:rPr>
          <w:rFonts w:hint="default" w:ascii="宋体" w:hAnsi="宋体" w:eastAsia="宋体" w:cstheme="minorBidi"/>
          <w:color w:val="auto"/>
          <w:kern w:val="2"/>
          <w:sz w:val="21"/>
          <w:szCs w:val="21"/>
          <w:lang w:val="en-US"/>
          <w14:ligatures w14:val="standardContextual"/>
        </w:rPr>
        <w:t>ā</w:t>
      </w:r>
      <w:r>
        <w:rPr>
          <w:rFonts w:ascii="宋体" w:hAnsi="宋体" w:eastAsia="宋体" w:cstheme="minorBidi"/>
          <w:color w:val="auto"/>
          <w:kern w:val="2"/>
          <w:sz w:val="21"/>
          <w:szCs w:val="21"/>
          <w:lang w:val="en-US"/>
          <w14:ligatures w14:val="standardContextual"/>
        </w:rPr>
        <w:t>和</w:t>
      </w:r>
      <w:r>
        <w:rPr>
          <w:rFonts w:hint="default" w:ascii="宋体" w:hAnsi="宋体" w:eastAsia="宋体" w:cstheme="minorBidi"/>
          <w:color w:val="auto"/>
          <w:kern w:val="2"/>
          <w:sz w:val="21"/>
          <w:szCs w:val="21"/>
          <w:lang w:val="en-US"/>
          <w14:ligatures w14:val="standardContextual"/>
        </w:rPr>
        <w:t>á</w:t>
      </w:r>
      <w:r>
        <w:rPr>
          <w:rFonts w:ascii="宋体" w:hAnsi="宋体" w:eastAsia="宋体" w:cstheme="minorBidi"/>
          <w:color w:val="auto"/>
          <w:kern w:val="2"/>
          <w:sz w:val="21"/>
          <w:szCs w:val="21"/>
          <w:lang w:val="en-US"/>
          <w14:ligatures w14:val="standardContextual"/>
        </w:rPr>
        <w:t>两个选项以及一颗圆钮，圆钮会通过颜色变化提示目标音频即将播放，在圆钮变色后被试需在刺激呈现的10秒内，通过触控点击选项作答</w:t>
      </w:r>
      <w:r>
        <w:rPr>
          <w:rFonts w:hint="eastAsia" w:ascii="宋体" w:hAnsi="宋体" w:eastAsia="宋体" w:cstheme="minorBidi"/>
          <w:color w:val="auto"/>
          <w:kern w:val="2"/>
          <w:sz w:val="21"/>
          <w:szCs w:val="21"/>
          <w:lang w:val="en-US" w:eastAsia="zh-CN"/>
          <w14:ligatures w14:val="standardContextual"/>
        </w:rPr>
        <w:t>。</w:t>
      </w:r>
      <w:r>
        <w:rPr>
          <w:rFonts w:ascii="宋体" w:hAnsi="宋体" w:eastAsia="宋体" w:cstheme="minorBidi"/>
          <w:color w:val="auto"/>
          <w:kern w:val="2"/>
          <w:sz w:val="21"/>
          <w:szCs w:val="21"/>
          <w:lang w:val="en-US"/>
          <w14:ligatures w14:val="standardContextual"/>
        </w:rPr>
        <w:t>如若被试超时未作答，实验流程将暂停。在每一次选择完成后，被试不会收到任何反馈，并直接进入下一题。实验正式开始之前，被试首先自行阅读屏幕上的操作指令并经过10次刺激的测试练习熟悉实验流程，如若出现被试在练习阶段就表示很难在该条件下听清</w:t>
      </w:r>
      <w:r>
        <w:rPr>
          <w:rFonts w:hint="eastAsia" w:ascii="宋体" w:hAnsi="宋体" w:eastAsia="宋体" w:cstheme="minorBidi"/>
          <w:color w:val="auto"/>
          <w:kern w:val="2"/>
          <w:sz w:val="21"/>
          <w:szCs w:val="21"/>
          <w:lang w:val="en-US" w:eastAsia="zh-CN"/>
          <w14:ligatures w14:val="standardContextual"/>
        </w:rPr>
        <w:t>目标音频</w:t>
      </w:r>
      <w:r>
        <w:rPr>
          <w:rFonts w:ascii="宋体" w:hAnsi="宋体" w:eastAsia="宋体" w:cstheme="minorBidi"/>
          <w:color w:val="auto"/>
          <w:kern w:val="2"/>
          <w:sz w:val="21"/>
          <w:szCs w:val="21"/>
          <w:lang w:val="en-US"/>
          <w14:ligatures w14:val="standardContextual"/>
        </w:rPr>
        <w:t>的情况，就不再进行正式实验。</w:t>
      </w:r>
    </w:p>
    <w:p w14:paraId="2B72CDB3">
      <w:pPr>
        <w:pStyle w:val="42"/>
        <w:spacing w:line="240" w:lineRule="auto"/>
        <w:ind w:firstLine="420" w:firstLineChars="200"/>
        <w:rPr>
          <w:rFonts w:ascii="宋体" w:hAnsi="宋体" w:eastAsia="宋体" w:cstheme="minorBidi"/>
          <w:color w:val="auto"/>
          <w:kern w:val="2"/>
          <w:sz w:val="21"/>
          <w:szCs w:val="21"/>
          <w:lang w:val="en-US"/>
          <w14:ligatures w14:val="standardContextual"/>
        </w:rPr>
      </w:pPr>
      <w:r>
        <w:rPr>
          <w:rFonts w:ascii="宋体" w:hAnsi="宋体" w:eastAsia="宋体" w:cstheme="minorBidi"/>
          <w:color w:val="auto"/>
          <w:kern w:val="2"/>
          <w:sz w:val="21"/>
          <w:szCs w:val="21"/>
          <w:lang w:val="en-US"/>
          <w14:ligatures w14:val="standardContextual"/>
        </w:rPr>
        <w:t>实验数据收集分成9组测试，分别为</w:t>
      </w:r>
      <w:r>
        <w:rPr>
          <w:rFonts w:hint="eastAsia" w:ascii="宋体" w:hAnsi="宋体" w:eastAsia="宋体" w:cstheme="minorBidi"/>
          <w:color w:val="auto"/>
          <w:kern w:val="2"/>
          <w:sz w:val="21"/>
          <w:szCs w:val="21"/>
          <w:lang w:val="en-US" w:eastAsia="zh-CN"/>
          <w14:ligatures w14:val="standardContextual"/>
        </w:rPr>
        <w:t>1</w:t>
      </w:r>
      <w:r>
        <w:rPr>
          <w:rFonts w:ascii="宋体" w:hAnsi="宋体" w:eastAsia="宋体" w:cstheme="minorBidi"/>
          <w:color w:val="auto"/>
          <w:kern w:val="2"/>
          <w:sz w:val="21"/>
          <w:szCs w:val="21"/>
          <w:lang w:val="en-US"/>
          <w14:ligatures w14:val="standardContextual"/>
        </w:rPr>
        <w:t>组安静条件测试和</w:t>
      </w:r>
      <w:r>
        <w:rPr>
          <w:rFonts w:hint="eastAsia" w:ascii="宋体" w:hAnsi="宋体" w:eastAsia="宋体" w:cstheme="minorBidi"/>
          <w:color w:val="auto"/>
          <w:kern w:val="2"/>
          <w:sz w:val="21"/>
          <w:szCs w:val="21"/>
          <w:lang w:val="en-US" w:eastAsia="zh-CN"/>
          <w14:ligatures w14:val="standardContextual"/>
        </w:rPr>
        <w:t>8</w:t>
      </w:r>
      <w:r>
        <w:rPr>
          <w:rFonts w:ascii="宋体" w:hAnsi="宋体" w:eastAsia="宋体" w:cstheme="minorBidi"/>
          <w:color w:val="auto"/>
          <w:kern w:val="2"/>
          <w:sz w:val="21"/>
          <w:szCs w:val="21"/>
          <w:lang w:val="en-US"/>
          <w14:ligatures w14:val="standardContextual"/>
        </w:rPr>
        <w:t>组噪音背景条件下的测试，即</w:t>
      </w:r>
      <w:r>
        <w:rPr>
          <w:rFonts w:hint="eastAsia" w:ascii="宋体" w:hAnsi="宋体" w:eastAsia="宋体" w:cstheme="minorBidi"/>
          <w:color w:val="auto"/>
          <w:kern w:val="2"/>
          <w:sz w:val="21"/>
          <w:szCs w:val="21"/>
          <w:lang w:val="en-US" w:eastAsia="zh-CN"/>
          <w14:ligatures w14:val="standardContextual"/>
        </w:rPr>
        <w:t>4</w:t>
      </w:r>
      <w:r>
        <w:rPr>
          <w:rFonts w:ascii="宋体" w:hAnsi="宋体" w:eastAsia="宋体" w:cstheme="minorBidi"/>
          <w:color w:val="auto"/>
          <w:kern w:val="2"/>
          <w:sz w:val="21"/>
          <w:szCs w:val="21"/>
          <w:lang w:val="en-US"/>
          <w14:ligatures w14:val="standardContextual"/>
        </w:rPr>
        <w:t>个SNR条件和</w:t>
      </w:r>
      <w:r>
        <w:rPr>
          <w:rFonts w:hint="eastAsia" w:ascii="宋体" w:hAnsi="宋体" w:eastAsia="宋体" w:cstheme="minorBidi"/>
          <w:color w:val="auto"/>
          <w:kern w:val="2"/>
          <w:sz w:val="21"/>
          <w:szCs w:val="21"/>
          <w:lang w:val="en-US" w:eastAsia="zh-CN"/>
          <w14:ligatures w14:val="standardContextual"/>
        </w:rPr>
        <w:t>2</w:t>
      </w:r>
      <w:r>
        <w:rPr>
          <w:rFonts w:ascii="宋体" w:hAnsi="宋体" w:eastAsia="宋体" w:cstheme="minorBidi"/>
          <w:color w:val="auto"/>
          <w:kern w:val="2"/>
          <w:sz w:val="21"/>
          <w:szCs w:val="21"/>
          <w:lang w:val="en-US"/>
          <w14:ligatures w14:val="standardContextual"/>
        </w:rPr>
        <w:t>个噪音来源方向类型条件。</w:t>
      </w:r>
      <w:r>
        <w:rPr>
          <w:rFonts w:hint="eastAsia" w:ascii="宋体" w:hAnsi="宋体" w:eastAsia="宋体" w:cstheme="minorBidi"/>
          <w:color w:val="auto"/>
          <w:kern w:val="2"/>
          <w:sz w:val="21"/>
          <w:szCs w:val="21"/>
          <w:lang w:val="en-US" w:eastAsia="zh-CN"/>
          <w14:ligatures w14:val="standardContextual"/>
        </w:rPr>
        <w:t>测试顺序如下，</w:t>
      </w:r>
      <w:r>
        <w:rPr>
          <w:rFonts w:ascii="宋体" w:hAnsi="宋体" w:eastAsia="宋体" w:cstheme="minorBidi"/>
          <w:color w:val="auto"/>
          <w:kern w:val="2"/>
          <w:sz w:val="21"/>
          <w:szCs w:val="21"/>
          <w:lang w:val="en-US"/>
          <w14:ligatures w14:val="standardContextual"/>
        </w:rPr>
        <w:t>安静</w:t>
      </w:r>
      <w:r>
        <w:rPr>
          <w:rFonts w:hint="eastAsia" w:ascii="宋体" w:hAnsi="宋体" w:eastAsia="宋体" w:cstheme="minorBidi"/>
          <w:color w:val="auto"/>
          <w:kern w:val="2"/>
          <w:sz w:val="21"/>
          <w:szCs w:val="21"/>
          <w:lang w:val="en-US" w:eastAsia="zh-CN"/>
          <w14:ligatures w14:val="standardContextual"/>
        </w:rPr>
        <w:t>条件的</w:t>
      </w:r>
      <w:r>
        <w:rPr>
          <w:rFonts w:ascii="宋体" w:hAnsi="宋体" w:eastAsia="宋体" w:cstheme="minorBidi"/>
          <w:color w:val="auto"/>
          <w:kern w:val="2"/>
          <w:sz w:val="21"/>
          <w:szCs w:val="21"/>
          <w:lang w:val="en-US"/>
          <w14:ligatures w14:val="standardContextual"/>
        </w:rPr>
        <w:t>测试先进行，后续</w:t>
      </w:r>
      <w:r>
        <w:rPr>
          <w:rFonts w:hint="eastAsia" w:ascii="宋体" w:hAnsi="宋体" w:eastAsia="宋体" w:cstheme="minorBidi"/>
          <w:color w:val="auto"/>
          <w:kern w:val="2"/>
          <w:sz w:val="21"/>
          <w:szCs w:val="21"/>
          <w:lang w:val="en-US" w:eastAsia="zh-CN"/>
          <w14:ligatures w14:val="standardContextual"/>
        </w:rPr>
        <w:t>8</w:t>
      </w:r>
      <w:r>
        <w:rPr>
          <w:rFonts w:ascii="宋体" w:hAnsi="宋体" w:eastAsia="宋体" w:cstheme="minorBidi"/>
          <w:color w:val="auto"/>
          <w:kern w:val="2"/>
          <w:sz w:val="21"/>
          <w:szCs w:val="21"/>
          <w:lang w:val="en-US"/>
          <w14:ligatures w14:val="standardContextual"/>
        </w:rPr>
        <w:t>组噪音测试随机出现。每组实验的目标音频均包括11种频率刺激，每个频率刺激随机出现15次，共计每组正式实验播放165次目标音频。每组实验用时约15分钟，整体测试加训练耗时约2.5小时，测试期间根据被试实际情况确定休息次数和时长，实际休息均不超过4次，每次3分钟。</w:t>
      </w:r>
    </w:p>
    <w:p w14:paraId="6FC7F6B7">
      <w:pPr>
        <w:pStyle w:val="42"/>
        <w:spacing w:line="240" w:lineRule="auto"/>
        <w:ind w:firstLine="420" w:firstLineChars="200"/>
        <w:rPr>
          <w:rFonts w:ascii="黑体" w:hAnsi="黑体" w:eastAsia="黑体"/>
          <w:sz w:val="21"/>
          <w:szCs w:val="21"/>
        </w:rPr>
      </w:pPr>
      <w:r>
        <w:rPr>
          <w:rFonts w:ascii="黑体" w:hAnsi="黑体" w:eastAsia="黑体"/>
          <w:sz w:val="21"/>
          <w:szCs w:val="21"/>
        </w:rPr>
        <w:t>2.7 实验设计和数据分析</w:t>
      </w:r>
    </w:p>
    <w:p w14:paraId="2BD55BC1">
      <w:pPr>
        <w:pStyle w:val="42"/>
        <w:spacing w:line="240" w:lineRule="auto"/>
        <w:ind w:firstLine="420" w:firstLineChars="200"/>
        <w:rPr>
          <w:rFonts w:ascii="宋体" w:hAnsi="宋体" w:eastAsia="宋体" w:cstheme="minorBidi"/>
          <w:color w:val="auto"/>
          <w:kern w:val="2"/>
          <w:sz w:val="21"/>
          <w:szCs w:val="21"/>
          <w:lang w:val="en-US"/>
          <w14:ligatures w14:val="standardContextual"/>
        </w:rPr>
      </w:pPr>
      <w:r>
        <w:rPr>
          <w:rFonts w:ascii="宋体" w:hAnsi="宋体" w:eastAsia="宋体" w:cstheme="minorBidi"/>
          <w:color w:val="auto"/>
          <w:kern w:val="2"/>
          <w:sz w:val="21"/>
          <w:szCs w:val="21"/>
          <w:lang w:val="en-US"/>
          <w14:ligatures w14:val="standardContextual"/>
        </w:rPr>
        <w:t>本实验采用混合因子设计，因变量为各测试条件下被试对不同目标音频的声调判断。组间变量为噪音条件，分为安静条件、单向噪音条件以及环绕式噪音条件。组内自变量为SNR条件，分-10</w:t>
      </w:r>
      <w:r>
        <w:rPr>
          <w:rFonts w:hint="eastAsia" w:ascii="宋体" w:hAnsi="宋体" w:eastAsia="宋体" w:cstheme="minorBidi"/>
          <w:color w:val="auto"/>
          <w:kern w:val="2"/>
          <w:sz w:val="21"/>
          <w:szCs w:val="21"/>
          <w:lang w:val="en-US" w:eastAsia="zh-CN"/>
          <w14:ligatures w14:val="standardContextual"/>
        </w:rPr>
        <w:t>dB</w:t>
      </w:r>
      <w:r>
        <w:rPr>
          <w:rFonts w:ascii="宋体" w:hAnsi="宋体" w:eastAsia="宋体" w:cstheme="minorBidi"/>
          <w:color w:val="auto"/>
          <w:kern w:val="2"/>
          <w:sz w:val="21"/>
          <w:szCs w:val="21"/>
          <w:lang w:val="en-US"/>
          <w14:ligatures w14:val="standardContextual"/>
        </w:rPr>
        <w:t>、-5</w:t>
      </w:r>
      <w:r>
        <w:rPr>
          <w:rFonts w:hint="eastAsia" w:ascii="宋体" w:hAnsi="宋体" w:eastAsia="宋体" w:cstheme="minorBidi"/>
          <w:color w:val="auto"/>
          <w:kern w:val="2"/>
          <w:sz w:val="21"/>
          <w:szCs w:val="21"/>
          <w:lang w:val="en-US" w:eastAsia="zh-CN"/>
          <w14:ligatures w14:val="standardContextual"/>
        </w:rPr>
        <w:t>dB</w:t>
      </w:r>
      <w:r>
        <w:rPr>
          <w:rFonts w:ascii="宋体" w:hAnsi="宋体" w:eastAsia="宋体" w:cstheme="minorBidi"/>
          <w:color w:val="auto"/>
          <w:kern w:val="2"/>
          <w:sz w:val="21"/>
          <w:szCs w:val="21"/>
          <w:lang w:val="en-US"/>
          <w14:ligatures w14:val="standardContextual"/>
        </w:rPr>
        <w:t>、0</w:t>
      </w:r>
      <w:r>
        <w:rPr>
          <w:rFonts w:hint="eastAsia" w:ascii="宋体" w:hAnsi="宋体" w:eastAsia="宋体" w:cstheme="minorBidi"/>
          <w:color w:val="auto"/>
          <w:kern w:val="2"/>
          <w:sz w:val="21"/>
          <w:szCs w:val="21"/>
          <w:lang w:val="en-US" w:eastAsia="zh-CN"/>
          <w14:ligatures w14:val="standardContextual"/>
        </w:rPr>
        <w:t>dB</w:t>
      </w:r>
      <w:r>
        <w:rPr>
          <w:rFonts w:ascii="宋体" w:hAnsi="宋体" w:eastAsia="宋体" w:cstheme="minorBidi"/>
          <w:color w:val="auto"/>
          <w:kern w:val="2"/>
          <w:sz w:val="21"/>
          <w:szCs w:val="21"/>
          <w:lang w:val="en-US"/>
          <w14:ligatures w14:val="standardContextual"/>
        </w:rPr>
        <w:t>和5</w:t>
      </w:r>
      <w:r>
        <w:rPr>
          <w:rFonts w:hint="eastAsia" w:ascii="宋体" w:hAnsi="宋体" w:eastAsia="宋体" w:cstheme="minorBidi"/>
          <w:color w:val="auto"/>
          <w:kern w:val="2"/>
          <w:sz w:val="21"/>
          <w:szCs w:val="21"/>
          <w:lang w:val="en-US" w:eastAsia="zh-CN"/>
          <w14:ligatures w14:val="standardContextual"/>
        </w:rPr>
        <w:t>dB</w:t>
      </w:r>
      <w:r>
        <w:rPr>
          <w:rFonts w:ascii="宋体" w:hAnsi="宋体" w:eastAsia="宋体" w:cstheme="minorBidi"/>
          <w:color w:val="auto"/>
          <w:kern w:val="2"/>
          <w:sz w:val="21"/>
          <w:szCs w:val="21"/>
          <w:lang w:val="en-US"/>
          <w14:ligatures w14:val="standardContextual"/>
        </w:rPr>
        <w:t>四个水平。</w:t>
      </w:r>
    </w:p>
    <w:p w14:paraId="332DD374">
      <w:pPr>
        <w:pStyle w:val="42"/>
        <w:spacing w:line="240" w:lineRule="auto"/>
        <w:ind w:firstLine="420" w:firstLineChars="0"/>
        <w:rPr>
          <w:rFonts w:ascii="宋体" w:hAnsi="宋体" w:eastAsia="宋体" w:cstheme="minorBidi"/>
          <w:color w:val="auto"/>
          <w:kern w:val="2"/>
          <w:sz w:val="21"/>
          <w:szCs w:val="21"/>
          <w:lang w:val="en-US"/>
          <w14:ligatures w14:val="standardContextual"/>
        </w:rPr>
      </w:pPr>
      <w:r>
        <w:rPr>
          <w:rFonts w:ascii="宋体" w:hAnsi="宋体" w:eastAsia="宋体" w:cstheme="minorBidi"/>
          <w:color w:val="auto"/>
          <w:kern w:val="2"/>
          <w:sz w:val="21"/>
          <w:szCs w:val="21"/>
          <w:lang w:val="en-US"/>
          <w14:ligatures w14:val="standardContextual"/>
        </w:rPr>
        <w:t>实验记录每一位被试对各次音频一声或二声的判断，通过统计各被试对同一目标音频做出的判断，得出该目标音频被判定为一声的可能性。在利用实验数据绘制出以频率变化为X轴，判定为一声的比例为Y轴的折线图后，运用R软件进行拟合，计算出曲线斜率，并以此为依据来探讨SNR和噪音来源方向对汉语语音声调识别的影响程度。</w:t>
      </w:r>
    </w:p>
    <w:p w14:paraId="6BCFCDDD">
      <w:pPr>
        <w:spacing w:before="156" w:beforeLines="50" w:after="120" w:line="240" w:lineRule="auto"/>
        <w:ind w:firstLine="480" w:firstLineChars="200"/>
        <w:rPr>
          <w:rFonts w:hint="eastAsia" w:ascii="黑体" w:hAnsi="黑体" w:eastAsia="黑体"/>
          <w:sz w:val="24"/>
        </w:rPr>
      </w:pPr>
      <w:r>
        <w:rPr>
          <w:rFonts w:hint="eastAsia" w:ascii="黑体" w:hAnsi="黑体" w:eastAsia="黑体"/>
          <w:sz w:val="24"/>
        </w:rPr>
        <w:t>3.数据分析</w:t>
      </w:r>
    </w:p>
    <w:p w14:paraId="1E19947E">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3.1公式拟合方法</w:t>
      </w:r>
    </w:p>
    <w:p w14:paraId="56626D54">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本研究采用</w:t>
      </w:r>
      <w:bookmarkStart w:id="4" w:name="OLE_LINK2"/>
      <w:r>
        <w:rPr>
          <w:rFonts w:hint="eastAsia" w:ascii="宋体" w:hAnsi="宋体" w:eastAsia="宋体"/>
          <w:sz w:val="21"/>
          <w:szCs w:val="21"/>
        </w:rPr>
        <w:t>逻辑回归模型（</w:t>
      </w:r>
      <w:r>
        <w:rPr>
          <w:rFonts w:ascii="宋体" w:hAnsi="宋体" w:eastAsia="宋体"/>
          <w:sz w:val="21"/>
          <w:szCs w:val="21"/>
        </w:rPr>
        <w:t>Jaeger, 2008）</w:t>
      </w:r>
      <w:bookmarkEnd w:id="4"/>
      <w:r>
        <w:rPr>
          <w:rFonts w:ascii="宋体" w:hAnsi="宋体" w:eastAsia="宋体"/>
          <w:sz w:val="21"/>
          <w:szCs w:val="21"/>
        </w:rPr>
        <w:t>分析听者在分类感知范式中对声调</w:t>
      </w:r>
      <w:r>
        <w:rPr>
          <w:rFonts w:hint="eastAsia" w:ascii="宋体" w:hAnsi="宋体" w:eastAsia="宋体"/>
          <w:sz w:val="21"/>
          <w:szCs w:val="21"/>
        </w:rPr>
        <w:t>ā和á</w:t>
      </w:r>
      <w:r>
        <w:rPr>
          <w:rFonts w:ascii="宋体" w:hAnsi="宋体" w:eastAsia="宋体"/>
          <w:sz w:val="21"/>
          <w:szCs w:val="21"/>
        </w:rPr>
        <w:t>的识别</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{"citationID":"Wrp4vIpN","properties":{"formattedCitation":"[10]","plainCitation":"[10]","noteIndex":0},"citationItems":[{"id":811,"uris":["http://zotero.org/users/14768194/items/7QGK5E5N"],"itemData":{"id":811,"type":"article-journal","abstract":"This paper identifies several serious problems with the widespread use of ANOVAs for the analysis of categorical outcome variables such as forced-choi…","container-title":"Journal of Memory and Language","DOI":"10.1016/j.jml.2007.11.007","ISSN":"0749-596X","issue":"4","language":"en-US","note":"publisher: Academic Press","page":"434-446","source":"www.sciencedirect.com","title":"Categorical data analysis: Away from ANOVAs (transformation or not) and towards logit mixed models","title-short":"Categorical data analysis","volume":"59","issued":{"date-parts":[["2008",11,1]]}}}],"schema":"https://github.com/citation-style-language/schema/raw/master/csl-citation.json"}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[1</w:t>
      </w:r>
      <w:r>
        <w:rPr>
          <w:rFonts w:hint="eastAsia" w:ascii="宋体" w:hAnsi="宋体" w:eastAsia="宋体"/>
          <w:sz w:val="21"/>
          <w:vertAlign w:val="superscript"/>
          <w:lang w:val="en-US" w:eastAsia="zh-CN"/>
        </w:rPr>
        <w:t>5</w:t>
      </w:r>
      <w:r>
        <w:rPr>
          <w:rFonts w:hint="eastAsia" w:ascii="宋体" w:hAnsi="宋体" w:eastAsia="宋体"/>
          <w:sz w:val="21"/>
          <w:vertAlign w:val="superscript"/>
        </w:rPr>
        <w:t>]</w:t>
      </w:r>
      <w:r>
        <w:rPr>
          <w:rFonts w:hint="eastAsia" w:ascii="宋体" w:hAnsi="宋体" w:eastAsia="宋体"/>
          <w:sz w:val="21"/>
          <w:szCs w:val="21"/>
          <w:vertAlign w:val="superscript"/>
        </w:rPr>
        <w:fldChar w:fldCharType="end"/>
      </w:r>
      <w:r>
        <w:rPr>
          <w:rFonts w:ascii="宋体" w:hAnsi="宋体" w:eastAsia="宋体"/>
          <w:sz w:val="21"/>
          <w:szCs w:val="21"/>
        </w:rPr>
        <w:t>。该模型广泛应用于二分类数据分析，并已在言语感知研究中取得显著成效（Morrison, 2007）</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{"citationID":"WnScmbN7","properties":{"formattedCitation":"[11]","plainCitation":"[11]","noteIndex":0},"citationItems":[{"id":815,"uris":["http://zotero.org/users/14768194/items/Y4ATU8FQ"],"itemData":{"id":815,"type":"webpage","title":"Logistic regression modelling for first and second language perception data","URL":"https://www.degruyterbrill.com/document/doi/10.1075/cilt.282.15mor/html","accessed":{"date-parts":[["2025",4,15]]}}}],"schema":"https://github.com/citation-style-language/schema/raw/master/csl-citation.json"}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[1</w:t>
      </w:r>
      <w:r>
        <w:rPr>
          <w:rFonts w:hint="eastAsia" w:ascii="宋体" w:hAnsi="宋体" w:eastAsia="宋体"/>
          <w:sz w:val="21"/>
          <w:vertAlign w:val="superscript"/>
          <w:lang w:val="en-US" w:eastAsia="zh-CN"/>
        </w:rPr>
        <w:t>6</w:t>
      </w:r>
      <w:r>
        <w:rPr>
          <w:rFonts w:hint="eastAsia" w:ascii="宋体" w:hAnsi="宋体" w:eastAsia="宋体"/>
          <w:sz w:val="21"/>
          <w:vertAlign w:val="superscript"/>
        </w:rPr>
        <w:t>]</w:t>
      </w:r>
      <w:r>
        <w:rPr>
          <w:rFonts w:hint="eastAsia" w:ascii="宋体" w:hAnsi="宋体" w:eastAsia="宋体"/>
          <w:sz w:val="21"/>
          <w:szCs w:val="21"/>
          <w:vertAlign w:val="superscript"/>
        </w:rPr>
        <w:fldChar w:fldCharType="end"/>
      </w:r>
      <w:r>
        <w:rPr>
          <w:rFonts w:ascii="宋体" w:hAnsi="宋体" w:eastAsia="宋体"/>
          <w:sz w:val="21"/>
          <w:szCs w:val="21"/>
        </w:rPr>
        <w:t xml:space="preserve">。模型通过交互式最大似然算法估计系数，这些系数在逻辑空间中表征曲线的斜率，如公式（1）所示：  </w:t>
      </w:r>
    </w:p>
    <w:p w14:paraId="19091B44">
      <w:pPr>
        <w:spacing w:line="240" w:lineRule="auto"/>
        <w:ind w:firstLine="2870" w:firstLineChars="1400"/>
        <w:rPr>
          <w:rFonts w:hint="eastAsia" w:ascii="宋体" w:hAnsi="宋体" w:eastAsia="宋体"/>
          <w:sz w:val="21"/>
          <w:szCs w:val="21"/>
        </w:rPr>
      </w:pPr>
      <w:r>
        <w:rPr>
          <w:rFonts w:ascii="宋体" w:hAnsi="宋体" w:eastAsia="宋体" w:cs="Times New Roman"/>
          <w:color w:val="231F20"/>
          <w:spacing w:val="-1"/>
          <w:w w:val="99"/>
          <w:sz w:val="21"/>
          <w:szCs w:val="21"/>
        </w:rPr>
        <w:t>Lo</w:t>
      </w:r>
      <w:r>
        <w:rPr>
          <w:rFonts w:ascii="宋体" w:hAnsi="宋体" w:eastAsia="宋体" w:cs="Times New Roman"/>
          <w:color w:val="231F20"/>
          <w:w w:val="99"/>
          <w:sz w:val="21"/>
          <w:szCs w:val="21"/>
        </w:rPr>
        <w:t>git</w:t>
      </w:r>
      <w:r>
        <w:rPr>
          <w:rFonts w:ascii="宋体" w:hAnsi="宋体" w:eastAsia="宋体" w:cs="Times New Roman"/>
          <w:color w:val="231F20"/>
          <w:w w:val="70"/>
          <w:sz w:val="21"/>
          <w:szCs w:val="21"/>
        </w:rPr>
        <w:t xml:space="preserve"> </w:t>
      </w:r>
      <w:r>
        <w:rPr>
          <w:rFonts w:ascii="宋体" w:hAnsi="宋体" w:eastAsia="宋体" w:cs="Arial"/>
          <w:color w:val="231F20"/>
          <w:spacing w:val="-1"/>
          <w:w w:val="99"/>
          <w:sz w:val="21"/>
          <w:szCs w:val="21"/>
        </w:rPr>
        <w:t>ð=</w:t>
      </w:r>
      <w:r>
        <w:rPr>
          <w:rFonts w:ascii="宋体" w:hAnsi="宋体" w:eastAsia="宋体" w:cs="Times New Roman"/>
          <w:color w:val="231F20"/>
          <w:w w:val="99"/>
          <w:sz w:val="21"/>
          <w:szCs w:val="21"/>
        </w:rPr>
        <w:t>tone</w:t>
      </w:r>
      <w:r>
        <w:rPr>
          <w:rFonts w:ascii="宋体" w:hAnsi="宋体" w:eastAsia="宋体" w:cs="Times New Roman"/>
          <w:color w:val="231F20"/>
          <w:w w:val="70"/>
          <w:sz w:val="21"/>
          <w:szCs w:val="21"/>
        </w:rPr>
        <w:t xml:space="preserve"> </w:t>
      </w:r>
      <w:r>
        <w:rPr>
          <w:rFonts w:ascii="宋体" w:hAnsi="宋体" w:eastAsia="宋体" w:cs="Times New Roman"/>
          <w:color w:val="231F20"/>
          <w:w w:val="99"/>
          <w:sz w:val="21"/>
          <w:szCs w:val="21"/>
        </w:rPr>
        <w:t>1</w:t>
      </w:r>
      <w:r>
        <w:rPr>
          <w:rFonts w:ascii="宋体" w:hAnsi="宋体" w:eastAsia="宋体" w:cs="Arial"/>
          <w:color w:val="231F20"/>
          <w:spacing w:val="-1"/>
          <w:w w:val="99"/>
          <w:sz w:val="21"/>
          <w:szCs w:val="21"/>
        </w:rPr>
        <w:t>=Þ</w:t>
      </w:r>
      <w:r>
        <w:rPr>
          <w:rFonts w:ascii="宋体" w:hAnsi="宋体" w:eastAsia="宋体" w:cs="Times New Roman"/>
          <w:color w:val="231F20"/>
          <w:w w:val="70"/>
          <w:sz w:val="21"/>
          <w:szCs w:val="21"/>
        </w:rPr>
        <w:t xml:space="preserve"> </w:t>
      </w:r>
      <w:r>
        <w:rPr>
          <w:rFonts w:ascii="宋体" w:hAnsi="宋体" w:eastAsia="宋体" w:cs="Arial"/>
          <w:color w:val="231F20"/>
          <w:spacing w:val="-1"/>
          <w:w w:val="99"/>
          <w:sz w:val="21"/>
          <w:szCs w:val="21"/>
        </w:rPr>
        <w:t>¼</w:t>
      </w:r>
      <w:r>
        <w:rPr>
          <w:rFonts w:ascii="宋体" w:hAnsi="宋体" w:eastAsia="宋体" w:cs="Times New Roman"/>
          <w:color w:val="231F20"/>
          <w:w w:val="70"/>
          <w:sz w:val="21"/>
          <w:szCs w:val="21"/>
        </w:rPr>
        <w:t xml:space="preserve"> </w:t>
      </w:r>
      <w:r>
        <w:rPr>
          <w:rFonts w:ascii="宋体" w:hAnsi="宋体" w:eastAsia="宋体" w:cs="Arial"/>
          <w:color w:val="231F20"/>
          <w:spacing w:val="-1"/>
          <w:sz w:val="21"/>
          <w:szCs w:val="21"/>
        </w:rPr>
        <w:t>β</w:t>
      </w:r>
      <w:r>
        <w:rPr>
          <w:rFonts w:ascii="宋体" w:hAnsi="宋体" w:eastAsia="宋体" w:cs="Times New Roman"/>
          <w:color w:val="231F20"/>
          <w:position w:val="-5"/>
          <w:sz w:val="21"/>
          <w:szCs w:val="21"/>
        </w:rPr>
        <w:t>0</w:t>
      </w:r>
      <w:r>
        <w:rPr>
          <w:rFonts w:ascii="宋体" w:hAnsi="宋体" w:eastAsia="宋体" w:cs="Times New Roman"/>
          <w:color w:val="231F20"/>
          <w:w w:val="70"/>
          <w:position w:val="-5"/>
          <w:sz w:val="21"/>
          <w:szCs w:val="21"/>
        </w:rPr>
        <w:t xml:space="preserve"> </w:t>
      </w:r>
      <w:r>
        <w:rPr>
          <w:rFonts w:ascii="宋体" w:hAnsi="宋体" w:eastAsia="宋体" w:cs="Arial"/>
          <w:color w:val="231F20"/>
          <w:spacing w:val="-1"/>
          <w:sz w:val="21"/>
          <w:szCs w:val="21"/>
        </w:rPr>
        <w:t>þ</w:t>
      </w:r>
      <w:r>
        <w:rPr>
          <w:rFonts w:ascii="宋体" w:hAnsi="宋体" w:eastAsia="宋体" w:cs="Times New Roman"/>
          <w:color w:val="231F20"/>
          <w:w w:val="70"/>
          <w:sz w:val="21"/>
          <w:szCs w:val="21"/>
        </w:rPr>
        <w:t xml:space="preserve"> </w:t>
      </w:r>
      <w:r>
        <w:rPr>
          <w:rFonts w:ascii="宋体" w:hAnsi="宋体" w:eastAsia="宋体" w:cs="Arial"/>
          <w:color w:val="231F20"/>
          <w:spacing w:val="-1"/>
          <w:sz w:val="21"/>
          <w:szCs w:val="21"/>
        </w:rPr>
        <w:t>β</w:t>
      </w:r>
      <w:r>
        <w:rPr>
          <w:rFonts w:ascii="宋体" w:hAnsi="宋体" w:eastAsia="宋体" w:cs="Times New Roman"/>
          <w:color w:val="231F20"/>
          <w:position w:val="-5"/>
          <w:sz w:val="21"/>
          <w:szCs w:val="21"/>
        </w:rPr>
        <w:t>1</w:t>
      </w:r>
      <w:r>
        <w:rPr>
          <w:rFonts w:ascii="宋体" w:hAnsi="宋体" w:eastAsia="宋体" w:cs="Times New Roman"/>
          <w:color w:val="231F20"/>
          <w:sz w:val="21"/>
          <w:szCs w:val="21"/>
        </w:rPr>
        <w:t>x</w:t>
      </w:r>
      <w:r>
        <w:rPr>
          <w:rFonts w:ascii="宋体" w:hAnsi="宋体" w:eastAsia="宋体"/>
          <w:sz w:val="21"/>
          <w:szCs w:val="21"/>
        </w:rPr>
        <w:t xml:space="preserve"> </w:t>
      </w:r>
      <w:r>
        <w:rPr>
          <w:rFonts w:hint="eastAsia" w:ascii="宋体" w:hAnsi="宋体" w:eastAsia="宋体"/>
          <w:sz w:val="21"/>
          <w:szCs w:val="21"/>
        </w:rPr>
        <w:t xml:space="preserve">       </w:t>
      </w:r>
      <w:r>
        <w:rPr>
          <w:rFonts w:ascii="宋体" w:hAnsi="宋体" w:eastAsia="宋体"/>
          <w:sz w:val="21"/>
          <w:szCs w:val="21"/>
        </w:rPr>
        <w:t>(1)</w:t>
      </w:r>
    </w:p>
    <w:p w14:paraId="0D67BAD3">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其中，</w:t>
      </w:r>
      <w:r>
        <w:rPr>
          <w:rFonts w:ascii="宋体" w:hAnsi="宋体" w:eastAsia="宋体" w:cs="Times New Roman"/>
          <w:color w:val="231F20"/>
          <w:sz w:val="21"/>
          <w:szCs w:val="21"/>
        </w:rPr>
        <w:t>x</w:t>
      </w:r>
      <w:r>
        <w:rPr>
          <w:rFonts w:ascii="宋体" w:hAnsi="宋体" w:eastAsia="宋体"/>
          <w:sz w:val="21"/>
          <w:szCs w:val="21"/>
        </w:rPr>
        <w:t>为实验中操控的刺激属性（即识别任务中的基频频率）。</w:t>
      </w:r>
      <w:r>
        <w:rPr>
          <w:rFonts w:ascii="宋体" w:hAnsi="宋体" w:eastAsia="宋体" w:cs="Arial"/>
          <w:color w:val="231F20"/>
          <w:sz w:val="21"/>
          <w:szCs w:val="21"/>
        </w:rPr>
        <w:t>β</w:t>
      </w:r>
      <w:r>
        <w:rPr>
          <w:rFonts w:ascii="宋体" w:hAnsi="宋体" w:eastAsia="宋体" w:cs="Times New Roman"/>
          <w:color w:val="231F20"/>
          <w:position w:val="-3"/>
          <w:sz w:val="21"/>
          <w:szCs w:val="21"/>
        </w:rPr>
        <w:t>0</w:t>
      </w:r>
      <w:r>
        <w:rPr>
          <w:rFonts w:ascii="宋体" w:hAnsi="宋体" w:eastAsia="宋体"/>
          <w:sz w:val="21"/>
          <w:szCs w:val="21"/>
        </w:rPr>
        <w:t>为与刺激属性变化无关的偏置系数，</w:t>
      </w:r>
      <w:r>
        <w:rPr>
          <w:rFonts w:ascii="宋体" w:hAnsi="宋体" w:eastAsia="宋体" w:cs="Arial"/>
          <w:color w:val="231F20"/>
          <w:sz w:val="21"/>
          <w:szCs w:val="21"/>
        </w:rPr>
        <w:t>β</w:t>
      </w:r>
      <w:r>
        <w:rPr>
          <w:rFonts w:ascii="宋体" w:hAnsi="宋体" w:eastAsia="宋体" w:cs="Times New Roman"/>
          <w:color w:val="231F20"/>
          <w:position w:val="-3"/>
          <w:sz w:val="21"/>
          <w:szCs w:val="21"/>
        </w:rPr>
        <w:t>0</w:t>
      </w:r>
      <w:r>
        <w:rPr>
          <w:rFonts w:ascii="宋体" w:hAnsi="宋体" w:eastAsia="宋体"/>
          <w:sz w:val="21"/>
          <w:szCs w:val="21"/>
        </w:rPr>
        <w:t>为反映刺激属性</w:t>
      </w:r>
      <w:r>
        <w:rPr>
          <w:rFonts w:ascii="宋体" w:hAnsi="宋体" w:eastAsia="宋体" w:cs="Times New Roman"/>
          <w:color w:val="231F20"/>
          <w:sz w:val="21"/>
          <w:szCs w:val="21"/>
        </w:rPr>
        <w:t>x</w:t>
      </w:r>
      <w:r>
        <w:rPr>
          <w:rFonts w:ascii="宋体" w:hAnsi="宋体" w:eastAsia="宋体"/>
          <w:sz w:val="21"/>
          <w:szCs w:val="21"/>
        </w:rPr>
        <w:t>引起响应变化的斜率系数。该刺激调谐斜率系数</w:t>
      </w:r>
      <w:r>
        <w:rPr>
          <w:rFonts w:ascii="宋体" w:hAnsi="宋体" w:eastAsia="宋体" w:cs="Arial"/>
          <w:color w:val="231F20"/>
          <w:sz w:val="21"/>
          <w:szCs w:val="21"/>
        </w:rPr>
        <w:t>β</w:t>
      </w:r>
      <w:r>
        <w:rPr>
          <w:rFonts w:ascii="宋体" w:hAnsi="宋体" w:eastAsia="宋体" w:cs="Times New Roman"/>
          <w:color w:val="231F20"/>
          <w:position w:val="-3"/>
          <w:sz w:val="21"/>
          <w:szCs w:val="21"/>
        </w:rPr>
        <w:t>1</w:t>
      </w:r>
      <w:r>
        <w:rPr>
          <w:rFonts w:ascii="宋体" w:hAnsi="宋体" w:eastAsia="宋体"/>
          <w:sz w:val="21"/>
          <w:szCs w:val="21"/>
        </w:rPr>
        <w:t xml:space="preserve">可量化声调识别函数的变化速率，例如：在声调1-4中偏移基频降低时，或在声调1-2中起始基频升高时，识别反应的敏感程度。  </w:t>
      </w:r>
    </w:p>
    <w:p w14:paraId="5F76F031">
      <w:pPr>
        <w:spacing w:line="240" w:lineRule="auto"/>
        <w:ind w:firstLine="420" w:firstLineChars="200"/>
        <w:rPr>
          <w:rFonts w:hint="eastAsia" w:ascii="宋体" w:hAnsi="宋体" w:eastAsia="宋体"/>
          <w:sz w:val="21"/>
          <w:szCs w:val="21"/>
        </w:rPr>
      </w:pPr>
      <w:r>
        <w:rPr>
          <w:rFonts w:ascii="宋体" w:hAnsi="宋体" w:eastAsia="宋体"/>
          <w:sz w:val="21"/>
          <w:szCs w:val="21"/>
        </w:rPr>
        <w:t xml:space="preserve">Jaeger (2008) 提出的逻辑回归模型（Logistic Regression）是一种广义线性模型（GLM），专门用于分析二分类响应变量（如“声调1” vs. “非声调1”）与连续型预测变量（如基频频率）之间的非线性关系。其核心是通过逻辑函数（logit link function）将线性预测值映射到概率空间，模型数学表达式为：  </w:t>
      </w:r>
    </w:p>
    <w:p w14:paraId="70E962D6">
      <w:pPr>
        <w:spacing w:line="240" w:lineRule="auto"/>
        <w:rPr>
          <w:rFonts w:ascii="Cambria Math" w:hAnsi="Cambria Math" w:eastAsia="宋体"/>
          <w:sz w:val="21"/>
          <w:szCs w:val="21"/>
          <w:oMath/>
        </w:rPr>
      </w:pPr>
      <m:oMathPara>
        <m:oMath>
          <m:r>
            <m:rPr>
              <m:nor/>
              <m:sty m:val="p"/>
            </m:rPr>
            <w:rPr>
              <w:rFonts w:ascii="宋体" w:hAnsi="宋体" w:eastAsia="宋体"/>
              <w:b w:val="0"/>
              <w:i w:val="0"/>
              <w:sz w:val="21"/>
              <w:szCs w:val="21"/>
            </w:rPr>
            <m:t>Logit</m:t>
          </m:r>
          <m:d>
            <m:dPr>
              <m:ctrlPr>
                <w:rPr>
                  <w:rFonts w:ascii="Cambria Math" w:hAnsi="Cambria Math" w:eastAsia="宋体"/>
                  <w:i/>
                  <w:sz w:val="21"/>
                  <w:szCs w:val="21"/>
                </w:rPr>
              </m:ctrlPr>
            </m:dPr>
            <m:e>
              <m:r>
                <m:rPr/>
                <w:rPr>
                  <w:rFonts w:ascii="Cambria Math" w:hAnsi="Cambria Math" w:eastAsia="宋体"/>
                  <w:sz w:val="21"/>
                  <w:szCs w:val="21"/>
                </w:rPr>
                <m:t>P</m:t>
              </m:r>
              <m:d>
                <m:dPr>
                  <m:ctrlPr>
                    <w:rPr>
                      <w:rFonts w:ascii="Cambria Math" w:hAnsi="Cambria Math" w:eastAsia="宋体"/>
                      <w:i/>
                      <w:sz w:val="21"/>
                      <w:szCs w:val="21"/>
                    </w:rPr>
                  </m:ctrlPr>
                </m:dPr>
                <m:e>
                  <m:r>
                    <m:rPr/>
                    <w:rPr>
                      <w:rFonts w:ascii="Cambria Math" w:hAnsi="Cambria Math" w:eastAsia="宋体"/>
                      <w:sz w:val="21"/>
                      <w:szCs w:val="21"/>
                    </w:rPr>
                    <m:t>Y=1</m:t>
                  </m:r>
                  <m:ctrlPr>
                    <w:rPr>
                      <w:rFonts w:ascii="Cambria Math" w:hAnsi="Cambria Math" w:eastAsia="宋体"/>
                      <w:i/>
                      <w:sz w:val="21"/>
                      <w:szCs w:val="21"/>
                    </w:rPr>
                  </m:ctrlPr>
                </m:e>
              </m:d>
              <m:ctrlPr>
                <w:rPr>
                  <w:rFonts w:ascii="Cambria Math" w:hAnsi="Cambria Math" w:eastAsia="宋体"/>
                  <w:i/>
                  <w:sz w:val="21"/>
                  <w:szCs w:val="21"/>
                </w:rPr>
              </m:ctrlPr>
            </m:e>
          </m:d>
          <m:r>
            <m:rPr/>
            <w:rPr>
              <w:rFonts w:ascii="Cambria Math" w:hAnsi="Cambria Math" w:eastAsia="宋体"/>
              <w:sz w:val="21"/>
              <w:szCs w:val="21"/>
            </w:rPr>
            <m:t>=</m:t>
          </m:r>
          <m:func>
            <m:funcPr>
              <m:ctrlPr>
                <w:rPr>
                  <w:rFonts w:ascii="Cambria Math" w:hAnsi="Cambria Math" w:eastAsia="宋体"/>
                  <w:sz w:val="21"/>
                  <w:szCs w:val="21"/>
                </w:rPr>
              </m:ctrlPr>
            </m:funcPr>
            <m:fName>
              <m:r>
                <m:rPr>
                  <m:sty m:val="p"/>
                </m:rPr>
                <w:rPr>
                  <w:rFonts w:ascii="Cambria Math" w:hAnsi="Cambria Math" w:eastAsia="宋体"/>
                  <w:sz w:val="21"/>
                  <w:szCs w:val="21"/>
                </w:rPr>
                <m:t>ln</m:t>
              </m:r>
              <m:ctrlPr>
                <w:rPr>
                  <w:rFonts w:ascii="Cambria Math" w:hAnsi="Cambria Math" w:eastAsia="宋体"/>
                  <w:i/>
                  <w:sz w:val="21"/>
                  <w:szCs w:val="21"/>
                </w:rPr>
              </m:ctrlPr>
            </m:fName>
            <m:e>
              <m:d>
                <m:dPr>
                  <m:ctrlPr>
                    <w:rPr>
                      <w:rFonts w:ascii="Cambria Math" w:hAnsi="Cambria Math" w:eastAsia="宋体"/>
                      <w:sz w:val="21"/>
                      <w:szCs w:val="21"/>
                    </w:rPr>
                  </m:ctrlPr>
                </m:dPr>
                <m:e>
                  <m:f>
                    <m:fPr>
                      <m:ctrlPr>
                        <w:rPr>
                          <w:rFonts w:ascii="Cambria Math" w:hAnsi="Cambria Math" w:eastAsia="宋体"/>
                          <w:sz w:val="21"/>
                          <w:szCs w:val="21"/>
                        </w:rPr>
                      </m:ctrlPr>
                    </m:fPr>
                    <m:num>
                      <m:r>
                        <m:rPr/>
                        <w:rPr>
                          <w:rFonts w:ascii="Cambria Math" w:hAnsi="Cambria Math" w:eastAsia="宋体"/>
                          <w:sz w:val="21"/>
                          <w:szCs w:val="21"/>
                        </w:rPr>
                        <m:t>P</m:t>
                      </m:r>
                      <m:d>
                        <m:dPr>
                          <m:ctrlPr>
                            <w:rPr>
                              <w:rFonts w:ascii="Cambria Math" w:hAnsi="Cambria Math" w:eastAsia="宋体"/>
                              <w:i/>
                              <w:sz w:val="21"/>
                              <w:szCs w:val="21"/>
                            </w:rPr>
                          </m:ctrlPr>
                        </m:dPr>
                        <m:e>
                          <m:r>
                            <m:rPr/>
                            <w:rPr>
                              <w:rFonts w:ascii="Cambria Math" w:hAnsi="Cambria Math" w:eastAsia="宋体"/>
                              <w:sz w:val="21"/>
                              <w:szCs w:val="21"/>
                            </w:rPr>
                            <m:t>Y=1</m:t>
                          </m:r>
                          <m:ctrlPr>
                            <w:rPr>
                              <w:rFonts w:ascii="Cambria Math" w:hAnsi="Cambria Math" w:eastAsia="宋体"/>
                              <w:i/>
                              <w:sz w:val="21"/>
                              <w:szCs w:val="21"/>
                            </w:rPr>
                          </m:ctrlPr>
                        </m:e>
                      </m:d>
                      <m:ctrlPr>
                        <w:rPr>
                          <w:rFonts w:ascii="Cambria Math" w:hAnsi="Cambria Math" w:eastAsia="宋体"/>
                          <w:i/>
                          <w:sz w:val="21"/>
                          <w:szCs w:val="21"/>
                        </w:rPr>
                      </m:ctrlPr>
                    </m:num>
                    <m:den>
                      <m:r>
                        <m:rPr/>
                        <w:rPr>
                          <w:rFonts w:ascii="Cambria Math" w:hAnsi="Cambria Math" w:eastAsia="宋体"/>
                          <w:sz w:val="21"/>
                          <w:szCs w:val="21"/>
                        </w:rPr>
                        <m:t>1−P</m:t>
                      </m:r>
                      <m:d>
                        <m:dPr>
                          <m:ctrlPr>
                            <w:rPr>
                              <w:rFonts w:ascii="Cambria Math" w:hAnsi="Cambria Math" w:eastAsia="宋体"/>
                              <w:i/>
                              <w:sz w:val="21"/>
                              <w:szCs w:val="21"/>
                            </w:rPr>
                          </m:ctrlPr>
                        </m:dPr>
                        <m:e>
                          <m:r>
                            <m:rPr/>
                            <w:rPr>
                              <w:rFonts w:ascii="Cambria Math" w:hAnsi="Cambria Math" w:eastAsia="宋体"/>
                              <w:sz w:val="21"/>
                              <w:szCs w:val="21"/>
                            </w:rPr>
                            <m:t>Y=1</m:t>
                          </m:r>
                          <m:ctrlPr>
                            <w:rPr>
                              <w:rFonts w:ascii="Cambria Math" w:hAnsi="Cambria Math" w:eastAsia="宋体"/>
                              <w:i/>
                              <w:sz w:val="21"/>
                              <w:szCs w:val="21"/>
                            </w:rPr>
                          </m:ctrlPr>
                        </m:e>
                      </m:d>
                      <m:ctrlPr>
                        <w:rPr>
                          <w:rFonts w:ascii="Cambria Math" w:hAnsi="Cambria Math" w:eastAsia="宋体"/>
                          <w:i/>
                          <w:sz w:val="21"/>
                          <w:szCs w:val="21"/>
                        </w:rPr>
                      </m:ctrlPr>
                    </m:den>
                  </m:f>
                  <m:ctrlPr>
                    <w:rPr>
                      <w:rFonts w:ascii="Cambria Math" w:hAnsi="Cambria Math" w:eastAsia="宋体"/>
                      <w:i/>
                      <w:sz w:val="21"/>
                      <w:szCs w:val="21"/>
                    </w:rPr>
                  </m:ctrlPr>
                </m:e>
              </m:d>
              <m:ctrlPr>
                <w:rPr>
                  <w:rFonts w:ascii="Cambria Math" w:hAnsi="Cambria Math" w:eastAsia="宋体"/>
                  <w:sz w:val="21"/>
                  <w:szCs w:val="21"/>
                </w:rPr>
              </m:ctrlPr>
            </m:e>
          </m:func>
          <m:r>
            <m:rPr/>
            <w:rPr>
              <w:rFonts w:ascii="Cambria Math" w:hAnsi="Cambria Math" w:eastAsia="宋体"/>
              <w:sz w:val="21"/>
              <w:szCs w:val="21"/>
            </w:rPr>
            <m:t>=</m:t>
          </m:r>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i/>
                  <w:sz w:val="21"/>
                  <w:szCs w:val="21"/>
                </w:rPr>
              </m:ctrlPr>
            </m:e>
            <m:sub>
              <m:r>
                <m:rPr/>
                <w:rPr>
                  <w:rFonts w:ascii="Cambria Math" w:hAnsi="Cambria Math" w:eastAsia="宋体"/>
                  <w:sz w:val="21"/>
                  <w:szCs w:val="21"/>
                </w:rPr>
                <m:t>0</m:t>
              </m:r>
              <m:ctrlPr>
                <w:rPr>
                  <w:rFonts w:ascii="Cambria Math" w:hAnsi="Cambria Math" w:eastAsia="宋体"/>
                  <w:i/>
                  <w:sz w:val="21"/>
                  <w:szCs w:val="21"/>
                </w:rPr>
              </m:ctrlPr>
            </m:sub>
          </m:sSub>
          <m:r>
            <m:rPr/>
            <w:rPr>
              <w:rFonts w:ascii="Cambria Math" w:hAnsi="Cambria Math" w:eastAsia="宋体"/>
              <w:sz w:val="21"/>
              <w:szCs w:val="21"/>
            </w:rPr>
            <m:t>+</m:t>
          </m:r>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i/>
                  <w:sz w:val="21"/>
                  <w:szCs w:val="21"/>
                </w:rPr>
              </m:ctrlPr>
            </m:e>
            <m:sub>
              <m:r>
                <m:rPr/>
                <w:rPr>
                  <w:rFonts w:ascii="Cambria Math" w:hAnsi="Cambria Math" w:eastAsia="宋体"/>
                  <w:sz w:val="21"/>
                  <w:szCs w:val="21"/>
                </w:rPr>
                <m:t>1</m:t>
              </m:r>
              <m:ctrlPr>
                <w:rPr>
                  <w:rFonts w:ascii="Cambria Math" w:hAnsi="Cambria Math" w:eastAsia="宋体"/>
                  <w:i/>
                  <w:sz w:val="21"/>
                  <w:szCs w:val="21"/>
                </w:rPr>
              </m:ctrlPr>
            </m:sub>
          </m:sSub>
          <m:r>
            <m:rPr/>
            <w:rPr>
              <w:rFonts w:ascii="Cambria Math" w:hAnsi="Cambria Math" w:eastAsia="宋体"/>
              <w:sz w:val="21"/>
              <w:szCs w:val="21"/>
            </w:rPr>
            <m:t>x</m:t>
          </m:r>
        </m:oMath>
      </m:oMathPara>
    </w:p>
    <w:p w14:paraId="4481A02E">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其中：</w:t>
      </w:r>
      <w:r>
        <w:rPr>
          <w:rFonts w:ascii="宋体" w:hAnsi="宋体" w:eastAsia="宋体"/>
          <w:sz w:val="21"/>
          <w:szCs w:val="21"/>
        </w:rPr>
        <w:t xml:space="preserve">  </w:t>
      </w:r>
    </w:p>
    <w:p w14:paraId="3BEAE90A">
      <w:pPr>
        <w:spacing w:line="240" w:lineRule="auto"/>
        <w:ind w:firstLine="420" w:firstLineChars="200"/>
        <w:rPr>
          <w:rFonts w:hint="eastAsia" w:ascii="宋体" w:hAnsi="宋体" w:eastAsia="宋体"/>
          <w:sz w:val="21"/>
          <w:szCs w:val="21"/>
        </w:rPr>
      </w:pPr>
      <m:oMath>
        <m:r>
          <m:rPr/>
          <w:rPr>
            <w:rFonts w:ascii="Cambria Math" w:hAnsi="Cambria Math" w:eastAsia="宋体"/>
            <w:sz w:val="21"/>
            <w:szCs w:val="21"/>
          </w:rPr>
          <m:t xml:space="preserve"> Y=1 </m:t>
        </m:r>
      </m:oMath>
      <w:r>
        <w:rPr>
          <w:rFonts w:ascii="宋体" w:hAnsi="宋体" w:eastAsia="宋体"/>
          <w:sz w:val="21"/>
          <w:szCs w:val="21"/>
        </w:rPr>
        <w:t xml:space="preserve">表示被试判断为“声调1”的事件  </w:t>
      </w:r>
    </w:p>
    <w:p w14:paraId="3DFB06CA">
      <w:pPr>
        <w:spacing w:line="240" w:lineRule="auto"/>
        <w:ind w:firstLine="420" w:firstLineChars="200"/>
        <w:rPr>
          <w:rFonts w:hint="eastAsia" w:ascii="宋体" w:hAnsi="宋体" w:eastAsia="宋体"/>
          <w:sz w:val="21"/>
          <w:szCs w:val="21"/>
        </w:rPr>
      </w:pPr>
      <w:bookmarkStart w:id="5" w:name="OLE_LINK3"/>
      <m:oMath>
        <m:r>
          <m:rPr/>
          <w:rPr>
            <w:rFonts w:ascii="Cambria Math" w:hAnsi="Cambria Math" w:eastAsia="宋体"/>
            <w:sz w:val="21"/>
            <w:szCs w:val="21"/>
          </w:rPr>
          <m:t>x</m:t>
        </m:r>
        <w:bookmarkEnd w:id="5"/>
      </m:oMath>
      <w:r>
        <w:rPr>
          <w:rFonts w:ascii="宋体" w:hAnsi="宋体" w:eastAsia="宋体"/>
          <w:sz w:val="21"/>
          <w:szCs w:val="21"/>
        </w:rPr>
        <w:t xml:space="preserve"> 为自变量（实验中操控的基频频率）  </w:t>
      </w:r>
    </w:p>
    <w:p w14:paraId="62404B46">
      <w:pPr>
        <w:spacing w:line="240" w:lineRule="auto"/>
        <w:ind w:firstLine="420" w:firstLineChars="200"/>
        <w:rPr>
          <w:rFonts w:hint="eastAsia" w:ascii="宋体" w:hAnsi="宋体" w:eastAsia="宋体"/>
          <w:sz w:val="21"/>
          <w:szCs w:val="21"/>
        </w:rPr>
      </w:pPr>
      <m:oMath>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sz w:val="21"/>
                <w:szCs w:val="21"/>
              </w:rPr>
            </m:ctrlPr>
          </m:e>
          <m:sub>
            <m:r>
              <m:rPr/>
              <w:rPr>
                <w:rFonts w:ascii="Cambria Math" w:hAnsi="Cambria Math" w:eastAsia="宋体"/>
                <w:sz w:val="21"/>
                <w:szCs w:val="21"/>
              </w:rPr>
              <m:t>0</m:t>
            </m:r>
            <m:ctrlPr>
              <w:rPr>
                <w:rFonts w:ascii="Cambria Math" w:hAnsi="Cambria Math" w:eastAsia="宋体"/>
                <w:i/>
                <w:sz w:val="21"/>
                <w:szCs w:val="21"/>
              </w:rPr>
            </m:ctrlPr>
          </m:sub>
        </m:sSub>
      </m:oMath>
      <w:r>
        <w:rPr>
          <w:rFonts w:ascii="宋体" w:hAnsi="宋体" w:eastAsia="宋体"/>
          <w:sz w:val="21"/>
          <w:szCs w:val="21"/>
        </w:rPr>
        <w:t>为截距项，反映基线响应倾向（即当</w:t>
      </w:r>
      <w:r>
        <w:rPr>
          <w:rFonts w:ascii="宋体" w:hAnsi="宋体" w:eastAsia="宋体"/>
          <w:i/>
          <w:sz w:val="21"/>
          <w:szCs w:val="21"/>
        </w:rPr>
        <w:t xml:space="preserve"> </w:t>
      </w:r>
      <m:oMath>
        <m:r>
          <m:rPr/>
          <w:rPr>
            <w:rFonts w:ascii="Cambria Math" w:hAnsi="Cambria Math" w:eastAsia="宋体"/>
            <w:sz w:val="21"/>
            <w:szCs w:val="21"/>
          </w:rPr>
          <m:t>x</m:t>
        </m:r>
      </m:oMath>
      <w:r>
        <w:rPr>
          <w:rFonts w:ascii="宋体" w:hAnsi="宋体" w:eastAsia="宋体"/>
          <w:sz w:val="21"/>
          <w:szCs w:val="21"/>
        </w:rPr>
        <w:t xml:space="preserve"> =0时选择声调1的对数几率）  </w:t>
      </w:r>
    </w:p>
    <w:p w14:paraId="579498BD">
      <w:pPr>
        <w:spacing w:line="240" w:lineRule="auto"/>
        <w:ind w:firstLine="420" w:firstLineChars="200"/>
        <w:rPr>
          <w:rFonts w:hint="eastAsia" w:ascii="宋体" w:hAnsi="宋体" w:eastAsia="宋体"/>
          <w:sz w:val="21"/>
          <w:szCs w:val="21"/>
        </w:rPr>
      </w:pPr>
      <m:oMath>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sz w:val="21"/>
                <w:szCs w:val="21"/>
              </w:rPr>
            </m:ctrlPr>
          </m:e>
          <m:sub>
            <m:r>
              <m:rPr/>
              <w:rPr>
                <w:rFonts w:ascii="Cambria Math" w:hAnsi="Cambria Math" w:eastAsia="宋体"/>
                <w:sz w:val="21"/>
                <w:szCs w:val="21"/>
              </w:rPr>
              <m:t>1</m:t>
            </m:r>
            <m:ctrlPr>
              <w:rPr>
                <w:rFonts w:ascii="Cambria Math" w:hAnsi="Cambria Math" w:eastAsia="宋体"/>
                <w:i/>
                <w:sz w:val="21"/>
                <w:szCs w:val="21"/>
              </w:rPr>
            </m:ctrlPr>
          </m:sub>
        </m:sSub>
      </m:oMath>
      <w:r>
        <w:rPr>
          <w:rFonts w:ascii="宋体" w:hAnsi="宋体" w:eastAsia="宋体"/>
          <w:sz w:val="21"/>
          <w:szCs w:val="21"/>
        </w:rPr>
        <w:t>为斜率系数，表征自变量</w:t>
      </w:r>
      <w:r>
        <w:rPr>
          <w:rFonts w:hint="eastAsia" w:ascii="宋体" w:hAnsi="宋体" w:eastAsia="宋体"/>
          <w:sz w:val="21"/>
          <w:szCs w:val="21"/>
        </w:rPr>
        <w:t>　</w:t>
      </w:r>
      <m:oMath>
        <m:r>
          <m:rPr/>
          <w:rPr>
            <w:rFonts w:ascii="Cambria Math" w:hAnsi="Cambria Math" w:eastAsia="宋体"/>
            <w:sz w:val="21"/>
            <w:szCs w:val="21"/>
          </w:rPr>
          <m:t>x</m:t>
        </m:r>
      </m:oMath>
      <w:r>
        <w:rPr>
          <w:rFonts w:hint="eastAsia" w:ascii="宋体" w:hAnsi="宋体" w:eastAsia="宋体"/>
          <w:sz w:val="21"/>
          <w:szCs w:val="21"/>
        </w:rPr>
        <w:t>　</w:t>
      </w:r>
      <w:r>
        <w:rPr>
          <w:rFonts w:ascii="宋体" w:hAnsi="宋体" w:eastAsia="宋体"/>
          <w:sz w:val="21"/>
          <w:szCs w:val="21"/>
        </w:rPr>
        <w:t xml:space="preserve">每增加1单位时对数几率的变化量  </w:t>
      </w:r>
    </w:p>
    <w:p w14:paraId="7AB48278">
      <w:pPr>
        <w:spacing w:line="240" w:lineRule="auto"/>
        <w:ind w:firstLine="420" w:firstLineChars="200"/>
        <w:rPr>
          <w:rFonts w:hint="eastAsia" w:ascii="宋体" w:hAnsi="宋体" w:eastAsia="宋体"/>
          <w:sz w:val="21"/>
          <w:szCs w:val="21"/>
        </w:rPr>
      </w:pPr>
      <w:r>
        <w:rPr>
          <w:rFonts w:ascii="宋体" w:hAnsi="宋体" w:eastAsia="宋体"/>
          <w:sz w:val="21"/>
          <w:szCs w:val="21"/>
        </w:rPr>
        <w:t>Jaeger 的研究表明，逻辑回归特别适用于分类感知任务（Categorical Perception），因其能有效刻画以下特征</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{"citationID":"G2sALk7a","properties":{"formattedCitation":"[12]","plainCitation":"[12]","noteIndex":0},"citationItems":[{"id":691,"uris":["http://zotero.org/users/14768194/items/YD794KK3"],"itemData":{"id":691,"type":"article-journal","abstract":"Purpose\n              The purpose of this study was to examine the aging effects on the categorical perception (CP) of Mandarin lexical Tones 1–4 and Tones 1–2 in noise. It also investigated whether listeners' categorical tone perception in noise correlated with their general tone identification of 20 natural vowel-plus-tone signals in noise.\n            \n            \n              Method\n              Twelve younger and 12 older listeners with normal hearing were recruited in both tone identification and discrimination tasks in a CP paradigm where fundamental frequency contours of target stimuli varied systematically from the flat tone (Tone 1) to the rising/falling tones (Tones 2/4). Both tasks were conducted in quiet and n</w:instrText>
      </w:r>
      <w:r>
        <w:rPr>
          <w:rFonts w:ascii="宋体" w:hAnsi="宋体" w:eastAsia="宋体"/>
          <w:sz w:val="21"/>
          <w:szCs w:val="21"/>
          <w:vertAlign w:val="superscript"/>
        </w:rPr>
        <w:instrText xml:space="preserve">oise with signal-to-noise ratios set at </w:instrText>
      </w:r>
      <w:r>
        <w:rPr>
          <w:rFonts w:ascii="Cambria Math" w:hAnsi="Cambria Math" w:eastAsia="宋体" w:cs="Cambria Math"/>
          <w:sz w:val="21"/>
          <w:szCs w:val="21"/>
          <w:vertAlign w:val="superscript"/>
        </w:rPr>
        <w:instrText xml:space="preserve">−</w:instrText>
      </w:r>
      <w:r>
        <w:rPr>
          <w:rFonts w:ascii="宋体" w:hAnsi="宋体" w:eastAsia="宋体"/>
          <w:sz w:val="21"/>
          <w:szCs w:val="21"/>
          <w:vertAlign w:val="superscript"/>
        </w:rPr>
        <w:instrText xml:space="preserve">5 and </w:instrText>
      </w:r>
      <w:r>
        <w:rPr>
          <w:rFonts w:ascii="Cambria Math" w:hAnsi="Cambria Math" w:eastAsia="宋体" w:cs="Cambria Math"/>
          <w:sz w:val="21"/>
          <w:szCs w:val="21"/>
          <w:vertAlign w:val="superscript"/>
        </w:rPr>
        <w:instrText xml:space="preserve">−</w:instrText>
      </w:r>
      <w:r>
        <w:rPr>
          <w:rFonts w:ascii="宋体" w:hAnsi="宋体" w:eastAsia="宋体"/>
          <w:sz w:val="21"/>
          <w:szCs w:val="21"/>
          <w:vertAlign w:val="superscript"/>
        </w:rPr>
        <w:instrText xml:space="preserve">10 dB, respectively, and general tone identification of natural speech signals was also tested in noise conditions.\n            \n            \n              Results\n              Compared with younger lis</w:instrText>
      </w:r>
      <w:r>
        <w:rPr>
          <w:rFonts w:hint="eastAsia" w:ascii="宋体" w:hAnsi="宋体" w:eastAsia="宋体"/>
          <w:sz w:val="21"/>
          <w:szCs w:val="21"/>
          <w:vertAlign w:val="superscript"/>
        </w:rPr>
        <w:instrText xml:space="preserve">teners, older listeners had shallower identification slopes and smaller discrimination peakedness in Tones 1–2/4 perception in all listening conditions, except for Tones 1–4 perception in quiet where no group differences were found. Meanwhile, noise affec</w:instrText>
      </w:r>
      <w:r>
        <w:rPr>
          <w:rFonts w:ascii="宋体" w:hAnsi="宋体" w:eastAsia="宋体"/>
          <w:sz w:val="21"/>
          <w:szCs w:val="21"/>
          <w:vertAlign w:val="superscript"/>
        </w:rPr>
        <w:instrText xml:space="preserve">ted Tones 1–2/4 perception: The signal-to-noise ratio condition at </w:instrText>
      </w:r>
      <w:r>
        <w:rPr>
          <w:rFonts w:ascii="Cambria Math" w:hAnsi="Cambria Math" w:eastAsia="宋体" w:cs="Cambria Math"/>
          <w:sz w:val="21"/>
          <w:szCs w:val="21"/>
          <w:vertAlign w:val="superscript"/>
        </w:rPr>
        <w:instrText xml:space="preserve">−</w:instrText>
      </w:r>
      <w:r>
        <w:rPr>
          <w:rFonts w:ascii="宋体" w:hAnsi="宋体" w:eastAsia="宋体"/>
          <w:sz w:val="21"/>
          <w:szCs w:val="21"/>
          <w:vertAlign w:val="superscript"/>
        </w:rPr>
        <w:instrText xml:space="preserve">10 dB brought shallower slope in Tones 1–2/4 identification and less peakedness in Tones 1–4 discrimination for both listener groups. Older listeners' CP in noise, the identification slop</w:instrText>
      </w:r>
      <w:r>
        <w:rPr>
          <w:rFonts w:hint="eastAsia" w:ascii="宋体" w:hAnsi="宋体" w:eastAsia="宋体"/>
          <w:sz w:val="21"/>
          <w:szCs w:val="21"/>
          <w:vertAlign w:val="superscript"/>
        </w:rPr>
        <w:instrText xml:space="preserve">es in particular, positively correlated with their general tone identification in noise, but such correlations were partially missing for younger listeners.\n            \n            \n              Conclusions\n              Both aging and the presence of speech-shaped noise significantly reduced the CP of Mandarin Tones 1–2/4. Listeners' Mandarin tone recognition may be related to their CP of Mandarin tones.","container-title":"Journal of Speech, Language, and Hearing Research","DOI":"10.1044/2020_JSLHR-20-00509","ISSN":"1092-4388, 1558-9102","issue":"4","journalAbbreviation":"J Speech Lang Hear Res","language":"en","page":"1376-1389","source":"DOI.org (Crossref)","title":"Aging Effects on Categorical Perception of Mandarin Lexical Tones in Noise","volume":"64","author":[{"family":"Wang","given":"Yuxia"},{"family":"Yang","given":"Xiaohu"},{"family":"Ding","given":"Hongwei"},{"family":"Xu","given":"Can"},{"family":"Liu","given":"Chang"}],"issued":{"date-parts":[["2021",4,14]]}}}],"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[1</w:t>
      </w:r>
      <w:r>
        <w:rPr>
          <w:rFonts w:hint="eastAsia" w:ascii="宋体" w:hAnsi="宋体" w:eastAsia="宋体"/>
          <w:sz w:val="21"/>
          <w:vertAlign w:val="superscript"/>
          <w:lang w:val="en-US" w:eastAsia="zh-CN"/>
        </w:rPr>
        <w:t>7</w:t>
      </w:r>
      <w:r>
        <w:rPr>
          <w:rFonts w:hint="eastAsia" w:ascii="宋体" w:hAnsi="宋体" w:eastAsia="宋体"/>
          <w:sz w:val="21"/>
          <w:vertAlign w:val="superscript"/>
        </w:rPr>
        <w:t>]</w:t>
      </w:r>
      <w:r>
        <w:rPr>
          <w:rFonts w:hint="eastAsia" w:ascii="宋体" w:hAnsi="宋体" w:eastAsia="宋体"/>
          <w:sz w:val="21"/>
          <w:szCs w:val="21"/>
          <w:vertAlign w:val="superscript"/>
        </w:rPr>
        <w:fldChar w:fldCharType="end"/>
      </w:r>
      <w:r>
        <w:rPr>
          <w:rFonts w:ascii="宋体" w:hAnsi="宋体" w:eastAsia="宋体"/>
          <w:sz w:val="21"/>
          <w:szCs w:val="21"/>
        </w:rPr>
        <w:t xml:space="preserve">：  </w:t>
      </w:r>
    </w:p>
    <w:p w14:paraId="79FE2070">
      <w:pPr>
        <w:spacing w:line="240" w:lineRule="auto"/>
        <w:ind w:firstLine="420" w:firstLineChars="200"/>
        <w:rPr>
          <w:rFonts w:hint="eastAsia" w:ascii="宋体" w:hAnsi="宋体" w:eastAsia="宋体"/>
          <w:sz w:val="21"/>
          <w:szCs w:val="21"/>
        </w:rPr>
      </w:pPr>
      <w:r>
        <w:rPr>
          <w:rFonts w:ascii="宋体" w:hAnsi="宋体" w:eastAsia="宋体"/>
          <w:sz w:val="21"/>
          <w:szCs w:val="21"/>
        </w:rPr>
        <w:t xml:space="preserve">1. S型响应曲线：声调识别概率随基频连续变化的S型曲线（见图1），与逻辑函数的形态高度契合。  </w:t>
      </w:r>
    </w:p>
    <w:p w14:paraId="252F69CA">
      <w:pPr>
        <w:spacing w:line="240" w:lineRule="auto"/>
        <w:ind w:firstLine="420" w:firstLineChars="200"/>
        <w:rPr>
          <w:rFonts w:hint="eastAsia" w:ascii="宋体" w:hAnsi="宋体" w:eastAsia="宋体"/>
          <w:sz w:val="21"/>
          <w:szCs w:val="21"/>
        </w:rPr>
      </w:pPr>
      <w:r>
        <w:rPr>
          <w:rFonts w:ascii="宋体" w:hAnsi="宋体" w:eastAsia="宋体"/>
          <w:sz w:val="21"/>
          <w:szCs w:val="21"/>
        </w:rPr>
        <w:t xml:space="preserve">2. 临界突变性：通过斜率系数 </w:t>
      </w:r>
      <m:oMath>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sz w:val="21"/>
                <w:szCs w:val="21"/>
              </w:rPr>
            </m:ctrlPr>
          </m:e>
          <m:sub>
            <m:r>
              <m:rPr/>
              <w:rPr>
                <w:rFonts w:ascii="Cambria Math" w:hAnsi="Cambria Math" w:eastAsia="宋体"/>
                <w:sz w:val="21"/>
                <w:szCs w:val="21"/>
              </w:rPr>
              <m:t>1</m:t>
            </m:r>
            <m:ctrlPr>
              <w:rPr>
                <w:rFonts w:ascii="Cambria Math" w:hAnsi="Cambria Math" w:eastAsia="宋体"/>
                <w:i/>
                <w:sz w:val="21"/>
                <w:szCs w:val="21"/>
              </w:rPr>
            </m:ctrlPr>
          </m:sub>
        </m:sSub>
      </m:oMath>
      <w:r>
        <w:rPr>
          <w:rFonts w:ascii="宋体" w:hAnsi="宋体" w:eastAsia="宋体"/>
          <w:sz w:val="21"/>
          <w:szCs w:val="21"/>
        </w:rPr>
        <w:t xml:space="preserve">量化感知边界附近的分类敏感度（陡峭的曲线斜率对应高区分能力）。  </w:t>
      </w:r>
    </w:p>
    <w:p w14:paraId="26FA4306">
      <w:pPr>
        <w:spacing w:line="240" w:lineRule="auto"/>
        <w:ind w:firstLine="420" w:firstLineChars="200"/>
        <w:rPr>
          <w:rFonts w:hint="eastAsia" w:ascii="宋体" w:hAnsi="宋体" w:eastAsia="宋体"/>
          <w:sz w:val="21"/>
          <w:szCs w:val="21"/>
        </w:rPr>
      </w:pPr>
      <w:r>
        <w:rPr>
          <w:rFonts w:ascii="宋体" w:hAnsi="宋体" w:eastAsia="宋体"/>
          <w:sz w:val="21"/>
          <w:szCs w:val="21"/>
        </w:rPr>
        <w:t>3. 个体差异建模：可通过分层模型（Hierarchical Model）同时估计群体趋势与个体变异（如公式1的扩展形式：</w:t>
      </w:r>
      <m:oMath>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sz w:val="21"/>
                <w:szCs w:val="21"/>
              </w:rPr>
            </m:ctrlPr>
          </m:e>
          <m:sub>
            <m:r>
              <m:rPr/>
              <w:rPr>
                <w:rFonts w:ascii="Cambria Math" w:hAnsi="Cambria Math" w:eastAsia="宋体"/>
                <w:sz w:val="21"/>
                <w:szCs w:val="21"/>
              </w:rPr>
              <m:t>0i</m:t>
            </m:r>
            <m:ctrlPr>
              <w:rPr>
                <w:rFonts w:ascii="Cambria Math" w:hAnsi="Cambria Math" w:eastAsia="宋体"/>
                <w:i/>
                <w:sz w:val="21"/>
                <w:szCs w:val="21"/>
              </w:rPr>
            </m:ctrlPr>
          </m:sub>
        </m:sSub>
        <m:r>
          <m:rPr/>
          <w:rPr>
            <w:rFonts w:ascii="Cambria Math" w:hAnsi="Cambria Math" w:eastAsia="宋体"/>
            <w:sz w:val="21"/>
            <w:szCs w:val="21"/>
          </w:rPr>
          <m:t>=</m:t>
        </m:r>
        <m:sSub>
          <m:sSubPr>
            <m:ctrlPr>
              <w:rPr>
                <w:rFonts w:ascii="Cambria Math" w:hAnsi="Cambria Math" w:eastAsia="宋体"/>
                <w:i/>
                <w:sz w:val="21"/>
                <w:szCs w:val="21"/>
              </w:rPr>
            </m:ctrlPr>
          </m:sSubPr>
          <m:e>
            <m:r>
              <m:rPr>
                <m:sty m:val="p"/>
              </m:rPr>
              <w:rPr>
                <w:rFonts w:ascii="Cambria Math" w:hAnsi="Cambria Math" w:eastAsia="宋体"/>
                <w:sz w:val="21"/>
                <w:szCs w:val="21"/>
              </w:rPr>
              <m:t>γ</m:t>
            </m:r>
            <m:ctrlPr>
              <w:rPr>
                <w:rFonts w:ascii="Cambria Math" w:hAnsi="Cambria Math" w:eastAsia="宋体"/>
                <w:i/>
                <w:sz w:val="21"/>
                <w:szCs w:val="21"/>
              </w:rPr>
            </m:ctrlPr>
          </m:e>
          <m:sub>
            <m:r>
              <m:rPr/>
              <w:rPr>
                <w:rFonts w:ascii="Cambria Math" w:hAnsi="Cambria Math" w:eastAsia="宋体"/>
                <w:sz w:val="21"/>
                <w:szCs w:val="21"/>
              </w:rPr>
              <m:t>00</m:t>
            </m:r>
            <m:ctrlPr>
              <w:rPr>
                <w:rFonts w:ascii="Cambria Math" w:hAnsi="Cambria Math" w:eastAsia="宋体"/>
                <w:i/>
                <w:sz w:val="21"/>
                <w:szCs w:val="21"/>
              </w:rPr>
            </m:ctrlPr>
          </m:sub>
        </m:sSub>
        <m:r>
          <m:rPr/>
          <w:rPr>
            <w:rFonts w:ascii="Cambria Math" w:hAnsi="Cambria Math" w:eastAsia="宋体"/>
            <w:sz w:val="21"/>
            <w:szCs w:val="21"/>
          </w:rPr>
          <m:t>+</m:t>
        </m:r>
        <m:sSub>
          <m:sSubPr>
            <m:ctrlPr>
              <w:rPr>
                <w:rFonts w:ascii="Cambria Math" w:hAnsi="Cambria Math" w:eastAsia="宋体"/>
                <w:i/>
                <w:sz w:val="21"/>
                <w:szCs w:val="21"/>
              </w:rPr>
            </m:ctrlPr>
          </m:sSubPr>
          <m:e>
            <m:r>
              <m:rPr/>
              <w:rPr>
                <w:rFonts w:ascii="Cambria Math" w:hAnsi="Cambria Math" w:eastAsia="宋体"/>
                <w:sz w:val="21"/>
                <w:szCs w:val="21"/>
              </w:rPr>
              <m:t>u</m:t>
            </m:r>
            <m:ctrlPr>
              <w:rPr>
                <w:rFonts w:ascii="Cambria Math" w:hAnsi="Cambria Math" w:eastAsia="宋体"/>
                <w:i/>
                <w:sz w:val="21"/>
                <w:szCs w:val="21"/>
              </w:rPr>
            </m:ctrlPr>
          </m:e>
          <m:sub>
            <m:r>
              <m:rPr/>
              <w:rPr>
                <w:rFonts w:ascii="Cambria Math" w:hAnsi="Cambria Math" w:eastAsia="宋体"/>
                <w:sz w:val="21"/>
                <w:szCs w:val="21"/>
              </w:rPr>
              <m:t>0i</m:t>
            </m:r>
            <m:ctrlPr>
              <w:rPr>
                <w:rFonts w:ascii="Cambria Math" w:hAnsi="Cambria Math" w:eastAsia="宋体"/>
                <w:i/>
                <w:sz w:val="21"/>
                <w:szCs w:val="21"/>
              </w:rPr>
            </m:ctrlPr>
          </m:sub>
        </m:sSub>
      </m:oMath>
      <w:r>
        <w:rPr>
          <w:rFonts w:ascii="宋体" w:hAnsi="宋体" w:eastAsia="宋体"/>
          <w:sz w:val="21"/>
          <w:szCs w:val="21"/>
        </w:rPr>
        <w:t>，其中</w:t>
      </w:r>
      <m:oMath>
        <m:sSub>
          <m:sSubPr>
            <m:ctrlPr>
              <w:rPr>
                <w:rFonts w:ascii="Cambria Math" w:hAnsi="Cambria Math" w:eastAsia="宋体"/>
                <w:i/>
                <w:sz w:val="21"/>
                <w:szCs w:val="21"/>
              </w:rPr>
            </m:ctrlPr>
          </m:sSubPr>
          <m:e>
            <m:r>
              <m:rPr/>
              <w:rPr>
                <w:rFonts w:ascii="Cambria Math" w:hAnsi="Cambria Math" w:eastAsia="宋体"/>
                <w:sz w:val="21"/>
                <w:szCs w:val="21"/>
              </w:rPr>
              <m:t>u</m:t>
            </m:r>
            <m:ctrlPr>
              <w:rPr>
                <w:rFonts w:ascii="Cambria Math" w:hAnsi="Cambria Math" w:eastAsia="宋体"/>
                <w:i/>
                <w:sz w:val="21"/>
                <w:szCs w:val="21"/>
              </w:rPr>
            </m:ctrlPr>
          </m:e>
          <m:sub>
            <m:r>
              <m:rPr/>
              <w:rPr>
                <w:rFonts w:ascii="Cambria Math" w:hAnsi="Cambria Math" w:eastAsia="宋体"/>
                <w:sz w:val="21"/>
                <w:szCs w:val="21"/>
              </w:rPr>
              <m:t>0i</m:t>
            </m:r>
            <m:ctrlPr>
              <w:rPr>
                <w:rFonts w:ascii="Cambria Math" w:hAnsi="Cambria Math" w:eastAsia="宋体"/>
                <w:i/>
                <w:sz w:val="21"/>
                <w:szCs w:val="21"/>
              </w:rPr>
            </m:ctrlPr>
          </m:sub>
        </m:sSub>
      </m:oMath>
      <w:r>
        <w:rPr>
          <w:rFonts w:ascii="宋体" w:hAnsi="宋体" w:eastAsia="宋体"/>
          <w:sz w:val="21"/>
          <w:szCs w:val="21"/>
        </w:rPr>
        <w:t xml:space="preserve">为个体随机效应）。  </w:t>
      </w:r>
    </w:p>
    <w:p w14:paraId="53D29460">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实验采用</w:t>
      </w:r>
      <w:r>
        <w:rPr>
          <w:rFonts w:ascii="宋体" w:hAnsi="宋体" w:eastAsia="宋体"/>
          <w:sz w:val="21"/>
          <w:szCs w:val="21"/>
        </w:rPr>
        <w:t xml:space="preserve"> Jaeger 推荐的交互式加权最小二乘法（Iteratively Reweighted Least Squares, IRLS）进行参数估计，具体流程包括：  </w:t>
      </w:r>
    </w:p>
    <w:p w14:paraId="50931578">
      <w:pPr>
        <w:spacing w:line="240" w:lineRule="auto"/>
        <w:ind w:firstLine="420" w:firstLineChars="200"/>
        <w:rPr>
          <w:rFonts w:hint="eastAsia" w:ascii="宋体" w:hAnsi="宋体" w:eastAsia="宋体"/>
          <w:sz w:val="21"/>
          <w:szCs w:val="21"/>
        </w:rPr>
      </w:pPr>
      <w:r>
        <w:rPr>
          <w:rFonts w:ascii="宋体" w:hAnsi="宋体" w:eastAsia="宋体"/>
          <w:sz w:val="21"/>
          <w:szCs w:val="21"/>
        </w:rPr>
        <w:t xml:space="preserve">1. 初始化：以线性概率模型的普通最小二乘（OLS）估计值作为迭代起点  </w:t>
      </w:r>
    </w:p>
    <w:p w14:paraId="35AB7A54">
      <w:pPr>
        <w:spacing w:line="240" w:lineRule="auto"/>
        <w:ind w:firstLine="420" w:firstLineChars="200"/>
        <w:rPr>
          <w:rFonts w:hint="eastAsia" w:ascii="宋体" w:hAnsi="宋体" w:eastAsia="宋体"/>
          <w:sz w:val="21"/>
          <w:szCs w:val="21"/>
        </w:rPr>
      </w:pPr>
      <w:r>
        <w:rPr>
          <w:rFonts w:ascii="宋体" w:hAnsi="宋体" w:eastAsia="宋体"/>
          <w:sz w:val="21"/>
          <w:szCs w:val="21"/>
        </w:rPr>
        <w:t>2. 权重更新：在每次迭代中，根据当前拟合值计算权重矩阵</w:t>
      </w:r>
      <m:oMath>
        <m:r>
          <m:rPr/>
          <w:rPr>
            <w:rFonts w:ascii="Cambria Math" w:hAnsi="Cambria Math" w:eastAsia="宋体"/>
            <w:sz w:val="21"/>
            <w:szCs w:val="21"/>
          </w:rPr>
          <m:t>W=</m:t>
        </m:r>
        <m:r>
          <m:rPr>
            <m:nor/>
            <m:sty m:val="p"/>
          </m:rPr>
          <w:rPr>
            <w:rFonts w:ascii="宋体" w:hAnsi="宋体" w:eastAsia="宋体"/>
            <w:b w:val="0"/>
            <w:i w:val="0"/>
            <w:sz w:val="21"/>
            <w:szCs w:val="21"/>
          </w:rPr>
          <m:t>diag</m:t>
        </m:r>
        <m:d>
          <m:dPr>
            <m:begChr m:val="["/>
            <m:endChr m:val="]"/>
            <m:ctrlPr>
              <w:rPr>
                <w:rFonts w:ascii="Cambria Math" w:hAnsi="Cambria Math" w:eastAsia="宋体"/>
                <w:i/>
                <w:sz w:val="21"/>
                <w:szCs w:val="21"/>
              </w:rPr>
            </m:ctrlPr>
          </m:dPr>
          <m:e>
            <m:sSub>
              <m:sSubPr>
                <m:ctrlPr>
                  <w:rPr>
                    <w:rFonts w:ascii="Cambria Math" w:hAnsi="Cambria Math" w:eastAsia="宋体"/>
                    <w:i/>
                    <w:sz w:val="21"/>
                    <w:szCs w:val="21"/>
                  </w:rPr>
                </m:ctrlPr>
              </m:sSubPr>
              <m:e>
                <m:r>
                  <m:rPr/>
                  <w:rPr>
                    <w:rFonts w:ascii="Cambria Math" w:hAnsi="Cambria Math" w:eastAsia="宋体"/>
                    <w:sz w:val="21"/>
                    <w:szCs w:val="21"/>
                  </w:rPr>
                  <m:t>p</m:t>
                </m:r>
                <m:ctrlPr>
                  <w:rPr>
                    <w:rFonts w:ascii="Cambria Math" w:hAnsi="Cambria Math" w:eastAsia="宋体"/>
                    <w:i/>
                    <w:sz w:val="21"/>
                    <w:szCs w:val="21"/>
                  </w:rPr>
                </m:ctrlPr>
              </m:e>
              <m:sub>
                <m:r>
                  <m:rPr/>
                  <w:rPr>
                    <w:rFonts w:ascii="Cambria Math" w:hAnsi="Cambria Math" w:eastAsia="宋体"/>
                    <w:sz w:val="21"/>
                    <w:szCs w:val="21"/>
                  </w:rPr>
                  <m:t>i</m:t>
                </m:r>
                <m:ctrlPr>
                  <w:rPr>
                    <w:rFonts w:ascii="Cambria Math" w:hAnsi="Cambria Math" w:eastAsia="宋体"/>
                    <w:i/>
                    <w:sz w:val="21"/>
                    <w:szCs w:val="21"/>
                  </w:rPr>
                </m:ctrlPr>
              </m:sub>
            </m:sSub>
            <m:d>
              <m:dPr>
                <m:ctrlPr>
                  <w:rPr>
                    <w:rFonts w:ascii="Cambria Math" w:hAnsi="Cambria Math" w:eastAsia="宋体"/>
                    <w:i/>
                    <w:sz w:val="21"/>
                    <w:szCs w:val="21"/>
                  </w:rPr>
                </m:ctrlPr>
              </m:dPr>
              <m:e>
                <m:r>
                  <m:rPr/>
                  <w:rPr>
                    <w:rFonts w:ascii="Cambria Math" w:hAnsi="Cambria Math" w:eastAsia="宋体"/>
                    <w:sz w:val="21"/>
                    <w:szCs w:val="21"/>
                  </w:rPr>
                  <m:t>1−</m:t>
                </m:r>
                <m:sSub>
                  <m:sSubPr>
                    <m:ctrlPr>
                      <w:rPr>
                        <w:rFonts w:ascii="Cambria Math" w:hAnsi="Cambria Math" w:eastAsia="宋体"/>
                        <w:i/>
                        <w:sz w:val="21"/>
                        <w:szCs w:val="21"/>
                      </w:rPr>
                    </m:ctrlPr>
                  </m:sSubPr>
                  <m:e>
                    <m:r>
                      <m:rPr/>
                      <w:rPr>
                        <w:rFonts w:ascii="Cambria Math" w:hAnsi="Cambria Math" w:eastAsia="宋体"/>
                        <w:sz w:val="21"/>
                        <w:szCs w:val="21"/>
                      </w:rPr>
                      <m:t>p</m:t>
                    </m:r>
                    <m:ctrlPr>
                      <w:rPr>
                        <w:rFonts w:ascii="Cambria Math" w:hAnsi="Cambria Math" w:eastAsia="宋体"/>
                        <w:i/>
                        <w:sz w:val="21"/>
                        <w:szCs w:val="21"/>
                      </w:rPr>
                    </m:ctrlPr>
                  </m:e>
                  <m:sub>
                    <m:r>
                      <m:rPr/>
                      <w:rPr>
                        <w:rFonts w:ascii="Cambria Math" w:hAnsi="Cambria Math" w:eastAsia="宋体"/>
                        <w:sz w:val="21"/>
                        <w:szCs w:val="21"/>
                      </w:rPr>
                      <m:t>i</m:t>
                    </m:r>
                    <m:ctrlPr>
                      <w:rPr>
                        <w:rFonts w:ascii="Cambria Math" w:hAnsi="Cambria Math" w:eastAsia="宋体"/>
                        <w:i/>
                        <w:sz w:val="21"/>
                        <w:szCs w:val="21"/>
                      </w:rPr>
                    </m:ctrlPr>
                  </m:sub>
                </m:sSub>
                <m:ctrlPr>
                  <w:rPr>
                    <w:rFonts w:ascii="Cambria Math" w:hAnsi="Cambria Math" w:eastAsia="宋体"/>
                    <w:i/>
                    <w:sz w:val="21"/>
                    <w:szCs w:val="21"/>
                  </w:rPr>
                </m:ctrlPr>
              </m:e>
            </m:d>
            <m:ctrlPr>
              <w:rPr>
                <w:rFonts w:ascii="Cambria Math" w:hAnsi="Cambria Math" w:eastAsia="宋体"/>
                <w:i/>
                <w:sz w:val="21"/>
                <w:szCs w:val="21"/>
              </w:rPr>
            </m:ctrlPr>
          </m:e>
        </m:d>
      </m:oMath>
      <w:r>
        <w:rPr>
          <w:rFonts w:ascii="宋体" w:hAnsi="宋体" w:eastAsia="宋体"/>
          <w:sz w:val="21"/>
          <w:szCs w:val="21"/>
        </w:rPr>
        <w:t xml:space="preserve">，其中 </w:t>
      </w:r>
      <m:oMath>
        <m:sSub>
          <m:sSubPr>
            <m:ctrlPr>
              <w:rPr>
                <w:rFonts w:ascii="Cambria Math" w:hAnsi="Cambria Math" w:eastAsia="宋体"/>
                <w:i/>
                <w:sz w:val="21"/>
                <w:szCs w:val="21"/>
              </w:rPr>
            </m:ctrlPr>
          </m:sSubPr>
          <m:e>
            <m:r>
              <m:rPr/>
              <w:rPr>
                <w:rFonts w:ascii="Cambria Math" w:hAnsi="Cambria Math" w:eastAsia="宋体"/>
                <w:sz w:val="21"/>
                <w:szCs w:val="21"/>
              </w:rPr>
              <m:t>p</m:t>
            </m:r>
            <m:ctrlPr>
              <w:rPr>
                <w:rFonts w:ascii="Cambria Math" w:hAnsi="Cambria Math" w:eastAsia="宋体"/>
                <w:i/>
                <w:sz w:val="21"/>
                <w:szCs w:val="21"/>
              </w:rPr>
            </m:ctrlPr>
          </m:e>
          <m:sub>
            <m:r>
              <m:rPr/>
              <w:rPr>
                <w:rFonts w:ascii="Cambria Math" w:hAnsi="Cambria Math" w:eastAsia="宋体"/>
                <w:sz w:val="21"/>
                <w:szCs w:val="21"/>
              </w:rPr>
              <m:t>i</m:t>
            </m:r>
            <m:ctrlPr>
              <w:rPr>
                <w:rFonts w:ascii="Cambria Math" w:hAnsi="Cambria Math" w:eastAsia="宋体"/>
                <w:i/>
                <w:sz w:val="21"/>
                <w:szCs w:val="21"/>
              </w:rPr>
            </m:ctrlPr>
          </m:sub>
        </m:sSub>
      </m:oMath>
      <w:r>
        <w:rPr>
          <w:rFonts w:ascii="宋体" w:hAnsi="宋体" w:eastAsia="宋体"/>
          <w:sz w:val="21"/>
          <w:szCs w:val="21"/>
        </w:rPr>
        <w:t xml:space="preserve"> 为第 </w:t>
      </w:r>
      <m:oMath>
        <m:r>
          <m:rPr/>
          <w:rPr>
            <w:rFonts w:ascii="Cambria Math" w:hAnsi="Cambria Math" w:eastAsia="宋体"/>
            <w:sz w:val="21"/>
            <w:szCs w:val="21"/>
          </w:rPr>
          <m:t xml:space="preserve">i </m:t>
        </m:r>
      </m:oMath>
      <w:r>
        <w:rPr>
          <w:rFonts w:ascii="宋体" w:hAnsi="宋体" w:eastAsia="宋体"/>
          <w:sz w:val="21"/>
          <w:szCs w:val="21"/>
        </w:rPr>
        <w:t xml:space="preserve">个试次的预测概率  </w:t>
      </w:r>
    </w:p>
    <w:p w14:paraId="0E80CB46">
      <w:pPr>
        <w:spacing w:line="240" w:lineRule="auto"/>
        <w:ind w:firstLine="420" w:firstLineChars="200"/>
        <w:rPr>
          <w:rFonts w:hint="eastAsia" w:ascii="宋体" w:hAnsi="宋体" w:eastAsia="宋体"/>
          <w:sz w:val="21"/>
          <w:szCs w:val="21"/>
        </w:rPr>
      </w:pPr>
      <w:r>
        <w:rPr>
          <w:rFonts w:ascii="宋体" w:hAnsi="宋体" w:eastAsia="宋体"/>
          <w:sz w:val="21"/>
          <w:szCs w:val="21"/>
        </w:rPr>
        <w:t xml:space="preserve">3. 系数修正：通过加权最小二乘公式更新参数：  </w:t>
      </w:r>
    </w:p>
    <w:p w14:paraId="7E02FF56">
      <w:pPr>
        <w:spacing w:line="240" w:lineRule="auto"/>
        <w:rPr>
          <w:rFonts w:hint="eastAsia" w:ascii="宋体" w:hAnsi="宋体" w:eastAsia="宋体"/>
          <w:sz w:val="21"/>
          <w:szCs w:val="21"/>
        </w:rPr>
      </w:pPr>
      <m:oMathPara>
        <m:oMath>
          <m:sSup>
            <m:sSupPr>
              <m:ctrlPr>
                <w:rPr>
                  <w:rFonts w:ascii="Cambria Math" w:hAnsi="Cambria Math" w:eastAsia="宋体"/>
                  <w:i/>
                  <w:sz w:val="21"/>
                  <w:szCs w:val="21"/>
                </w:rPr>
              </m:ctrlPr>
            </m:sSupPr>
            <m:e>
              <m:r>
                <m:rPr>
                  <m:sty m:val="p"/>
                </m:rPr>
                <w:rPr>
                  <w:rFonts w:ascii="Cambria Math" w:hAnsi="Cambria Math" w:eastAsia="宋体"/>
                  <w:sz w:val="21"/>
                  <w:szCs w:val="21"/>
                </w:rPr>
                <m:t>β</m:t>
              </m:r>
              <m:ctrlPr>
                <w:rPr>
                  <w:rFonts w:ascii="Cambria Math" w:hAnsi="Cambria Math" w:eastAsia="宋体"/>
                  <w:i/>
                  <w:sz w:val="21"/>
                  <w:szCs w:val="21"/>
                </w:rPr>
              </m:ctrlPr>
            </m:e>
            <m:sup>
              <m:d>
                <m:dPr>
                  <m:ctrlPr>
                    <w:rPr>
                      <w:rFonts w:ascii="Cambria Math" w:hAnsi="Cambria Math" w:eastAsia="宋体"/>
                      <w:i/>
                      <w:sz w:val="21"/>
                      <w:szCs w:val="21"/>
                    </w:rPr>
                  </m:ctrlPr>
                </m:dPr>
                <m:e>
                  <m:r>
                    <m:rPr/>
                    <w:rPr>
                      <w:rFonts w:ascii="Cambria Math" w:hAnsi="Cambria Math" w:eastAsia="宋体"/>
                      <w:sz w:val="21"/>
                      <w:szCs w:val="21"/>
                    </w:rPr>
                    <m:t>k+1</m:t>
                  </m:r>
                  <m:ctrlPr>
                    <w:rPr>
                      <w:rFonts w:ascii="Cambria Math" w:hAnsi="Cambria Math" w:eastAsia="宋体"/>
                      <w:i/>
                      <w:sz w:val="21"/>
                      <w:szCs w:val="21"/>
                    </w:rPr>
                  </m:ctrlPr>
                </m:e>
              </m:d>
              <m:ctrlPr>
                <w:rPr>
                  <w:rFonts w:ascii="Cambria Math" w:hAnsi="Cambria Math" w:eastAsia="宋体"/>
                  <w:i/>
                  <w:sz w:val="21"/>
                  <w:szCs w:val="21"/>
                </w:rPr>
              </m:ctrlPr>
            </m:sup>
          </m:sSup>
          <m:r>
            <m:rPr/>
            <w:rPr>
              <w:rFonts w:ascii="Cambria Math" w:hAnsi="Cambria Math" w:eastAsia="宋体"/>
              <w:sz w:val="21"/>
              <w:szCs w:val="21"/>
            </w:rPr>
            <m:t>=</m:t>
          </m:r>
          <m:sSup>
            <m:sSupPr>
              <m:ctrlPr>
                <w:rPr>
                  <w:rFonts w:ascii="Cambria Math" w:hAnsi="Cambria Math" w:eastAsia="宋体"/>
                  <w:i/>
                  <w:sz w:val="21"/>
                  <w:szCs w:val="21"/>
                </w:rPr>
              </m:ctrlPr>
            </m:sSupPr>
            <m:e>
              <m:d>
                <m:dPr>
                  <m:ctrlPr>
                    <w:rPr>
                      <w:rFonts w:ascii="Cambria Math" w:hAnsi="Cambria Math" w:eastAsia="宋体"/>
                      <w:i/>
                      <w:sz w:val="21"/>
                      <w:szCs w:val="21"/>
                    </w:rPr>
                  </m:ctrlPr>
                </m:dPr>
                <m:e>
                  <m:sSup>
                    <m:sSupPr>
                      <m:ctrlPr>
                        <w:rPr>
                          <w:rFonts w:ascii="Cambria Math" w:hAnsi="Cambria Math" w:eastAsia="宋体"/>
                          <w:i/>
                          <w:sz w:val="21"/>
                          <w:szCs w:val="21"/>
                        </w:rPr>
                      </m:ctrlPr>
                    </m:sSupPr>
                    <m:e>
                      <m:r>
                        <m:rPr/>
                        <w:rPr>
                          <w:rFonts w:ascii="Cambria Math" w:hAnsi="Cambria Math" w:eastAsia="宋体"/>
                          <w:sz w:val="21"/>
                          <w:szCs w:val="21"/>
                        </w:rPr>
                        <m:t>X</m:t>
                      </m:r>
                      <m:ctrlPr>
                        <w:rPr>
                          <w:rFonts w:ascii="Cambria Math" w:hAnsi="Cambria Math" w:eastAsia="宋体"/>
                          <w:i/>
                          <w:sz w:val="21"/>
                          <w:szCs w:val="21"/>
                        </w:rPr>
                      </m:ctrlPr>
                    </m:e>
                    <m:sup>
                      <m:r>
                        <m:rPr/>
                        <w:rPr>
                          <w:rFonts w:ascii="Cambria Math" w:hAnsi="Cambria Math" w:eastAsia="宋体"/>
                          <w:sz w:val="21"/>
                          <w:szCs w:val="21"/>
                        </w:rPr>
                        <m:t>T</m:t>
                      </m:r>
                      <m:ctrlPr>
                        <w:rPr>
                          <w:rFonts w:ascii="Cambria Math" w:hAnsi="Cambria Math" w:eastAsia="宋体"/>
                          <w:i/>
                          <w:sz w:val="21"/>
                          <w:szCs w:val="21"/>
                        </w:rPr>
                      </m:ctrlPr>
                    </m:sup>
                  </m:sSup>
                  <m:sSup>
                    <m:sSupPr>
                      <m:ctrlPr>
                        <w:rPr>
                          <w:rFonts w:ascii="Cambria Math" w:hAnsi="Cambria Math" w:eastAsia="宋体"/>
                          <w:i/>
                          <w:sz w:val="21"/>
                          <w:szCs w:val="21"/>
                        </w:rPr>
                      </m:ctrlPr>
                    </m:sSupPr>
                    <m:e>
                      <m:r>
                        <m:rPr/>
                        <w:rPr>
                          <w:rFonts w:ascii="Cambria Math" w:hAnsi="Cambria Math" w:eastAsia="宋体"/>
                          <w:sz w:val="21"/>
                          <w:szCs w:val="21"/>
                        </w:rPr>
                        <m:t>W</m:t>
                      </m:r>
                      <m:ctrlPr>
                        <w:rPr>
                          <w:rFonts w:ascii="Cambria Math" w:hAnsi="Cambria Math" w:eastAsia="宋体"/>
                          <w:i/>
                          <w:sz w:val="21"/>
                          <w:szCs w:val="21"/>
                        </w:rPr>
                      </m:ctrlPr>
                    </m:e>
                    <m:sup>
                      <m:d>
                        <m:dPr>
                          <m:ctrlPr>
                            <w:rPr>
                              <w:rFonts w:ascii="Cambria Math" w:hAnsi="Cambria Math" w:eastAsia="宋体"/>
                              <w:i/>
                              <w:sz w:val="21"/>
                              <w:szCs w:val="21"/>
                            </w:rPr>
                          </m:ctrlPr>
                        </m:dPr>
                        <m:e>
                          <m:r>
                            <m:rPr/>
                            <w:rPr>
                              <w:rFonts w:ascii="Cambria Math" w:hAnsi="Cambria Math" w:eastAsia="宋体"/>
                              <w:sz w:val="21"/>
                              <w:szCs w:val="21"/>
                            </w:rPr>
                            <m:t>k</m:t>
                          </m:r>
                          <m:ctrlPr>
                            <w:rPr>
                              <w:rFonts w:ascii="Cambria Math" w:hAnsi="Cambria Math" w:eastAsia="宋体"/>
                              <w:i/>
                              <w:sz w:val="21"/>
                              <w:szCs w:val="21"/>
                            </w:rPr>
                          </m:ctrlPr>
                        </m:e>
                      </m:d>
                      <m:ctrlPr>
                        <w:rPr>
                          <w:rFonts w:ascii="Cambria Math" w:hAnsi="Cambria Math" w:eastAsia="宋体"/>
                          <w:i/>
                          <w:sz w:val="21"/>
                          <w:szCs w:val="21"/>
                        </w:rPr>
                      </m:ctrlPr>
                    </m:sup>
                  </m:sSup>
                  <m:r>
                    <m:rPr/>
                    <w:rPr>
                      <w:rFonts w:ascii="Cambria Math" w:hAnsi="Cambria Math" w:eastAsia="宋体"/>
                      <w:sz w:val="21"/>
                      <w:szCs w:val="21"/>
                    </w:rPr>
                    <m:t>X</m:t>
                  </m:r>
                  <m:ctrlPr>
                    <w:rPr>
                      <w:rFonts w:ascii="Cambria Math" w:hAnsi="Cambria Math" w:eastAsia="宋体"/>
                      <w:i/>
                      <w:sz w:val="21"/>
                      <w:szCs w:val="21"/>
                    </w:rPr>
                  </m:ctrlPr>
                </m:e>
              </m:d>
              <m:ctrlPr>
                <w:rPr>
                  <w:rFonts w:ascii="Cambria Math" w:hAnsi="Cambria Math" w:eastAsia="宋体"/>
                  <w:i/>
                  <w:sz w:val="21"/>
                  <w:szCs w:val="21"/>
                </w:rPr>
              </m:ctrlPr>
            </m:e>
            <m:sup>
              <m:r>
                <m:rPr/>
                <w:rPr>
                  <w:rFonts w:ascii="Cambria Math" w:hAnsi="Cambria Math" w:eastAsia="宋体"/>
                  <w:sz w:val="21"/>
                  <w:szCs w:val="21"/>
                </w:rPr>
                <m:t>−1</m:t>
              </m:r>
              <m:ctrlPr>
                <w:rPr>
                  <w:rFonts w:ascii="Cambria Math" w:hAnsi="Cambria Math" w:eastAsia="宋体"/>
                  <w:i/>
                  <w:sz w:val="21"/>
                  <w:szCs w:val="21"/>
                </w:rPr>
              </m:ctrlPr>
            </m:sup>
          </m:sSup>
          <m:sSup>
            <m:sSupPr>
              <m:ctrlPr>
                <w:rPr>
                  <w:rFonts w:ascii="Cambria Math" w:hAnsi="Cambria Math" w:eastAsia="宋体"/>
                  <w:i/>
                  <w:sz w:val="21"/>
                  <w:szCs w:val="21"/>
                </w:rPr>
              </m:ctrlPr>
            </m:sSupPr>
            <m:e>
              <m:r>
                <m:rPr/>
                <w:rPr>
                  <w:rFonts w:ascii="Cambria Math" w:hAnsi="Cambria Math" w:eastAsia="宋体"/>
                  <w:sz w:val="21"/>
                  <w:szCs w:val="21"/>
                </w:rPr>
                <m:t>X</m:t>
              </m:r>
              <m:ctrlPr>
                <w:rPr>
                  <w:rFonts w:ascii="Cambria Math" w:hAnsi="Cambria Math" w:eastAsia="宋体"/>
                  <w:i/>
                  <w:sz w:val="21"/>
                  <w:szCs w:val="21"/>
                </w:rPr>
              </m:ctrlPr>
            </m:e>
            <m:sup>
              <m:r>
                <m:rPr/>
                <w:rPr>
                  <w:rFonts w:ascii="Cambria Math" w:hAnsi="Cambria Math" w:eastAsia="宋体"/>
                  <w:sz w:val="21"/>
                  <w:szCs w:val="21"/>
                </w:rPr>
                <m:t>T</m:t>
              </m:r>
              <m:ctrlPr>
                <w:rPr>
                  <w:rFonts w:ascii="Cambria Math" w:hAnsi="Cambria Math" w:eastAsia="宋体"/>
                  <w:i/>
                  <w:sz w:val="21"/>
                  <w:szCs w:val="21"/>
                </w:rPr>
              </m:ctrlPr>
            </m:sup>
          </m:sSup>
          <m:sSup>
            <m:sSupPr>
              <m:ctrlPr>
                <w:rPr>
                  <w:rFonts w:ascii="Cambria Math" w:hAnsi="Cambria Math" w:eastAsia="宋体"/>
                  <w:i/>
                  <w:sz w:val="21"/>
                  <w:szCs w:val="21"/>
                </w:rPr>
              </m:ctrlPr>
            </m:sSupPr>
            <m:e>
              <m:r>
                <m:rPr/>
                <w:rPr>
                  <w:rFonts w:ascii="Cambria Math" w:hAnsi="Cambria Math" w:eastAsia="宋体"/>
                  <w:sz w:val="21"/>
                  <w:szCs w:val="21"/>
                </w:rPr>
                <m:t>W</m:t>
              </m:r>
              <m:ctrlPr>
                <w:rPr>
                  <w:rFonts w:ascii="Cambria Math" w:hAnsi="Cambria Math" w:eastAsia="宋体"/>
                  <w:i/>
                  <w:sz w:val="21"/>
                  <w:szCs w:val="21"/>
                </w:rPr>
              </m:ctrlPr>
            </m:e>
            <m:sup>
              <m:d>
                <m:dPr>
                  <m:ctrlPr>
                    <w:rPr>
                      <w:rFonts w:ascii="Cambria Math" w:hAnsi="Cambria Math" w:eastAsia="宋体"/>
                      <w:i/>
                      <w:sz w:val="21"/>
                      <w:szCs w:val="21"/>
                    </w:rPr>
                  </m:ctrlPr>
                </m:dPr>
                <m:e>
                  <m:r>
                    <m:rPr/>
                    <w:rPr>
                      <w:rFonts w:ascii="Cambria Math" w:hAnsi="Cambria Math" w:eastAsia="宋体"/>
                      <w:sz w:val="21"/>
                      <w:szCs w:val="21"/>
                    </w:rPr>
                    <m:t>k</m:t>
                  </m:r>
                  <m:ctrlPr>
                    <w:rPr>
                      <w:rFonts w:ascii="Cambria Math" w:hAnsi="Cambria Math" w:eastAsia="宋体"/>
                      <w:i/>
                      <w:sz w:val="21"/>
                      <w:szCs w:val="21"/>
                    </w:rPr>
                  </m:ctrlPr>
                </m:e>
              </m:d>
              <m:ctrlPr>
                <w:rPr>
                  <w:rFonts w:ascii="Cambria Math" w:hAnsi="Cambria Math" w:eastAsia="宋体"/>
                  <w:i/>
                  <w:sz w:val="21"/>
                  <w:szCs w:val="21"/>
                </w:rPr>
              </m:ctrlPr>
            </m:sup>
          </m:sSup>
          <m:sSup>
            <m:sSupPr>
              <m:ctrlPr>
                <w:rPr>
                  <w:rFonts w:ascii="Cambria Math" w:hAnsi="Cambria Math" w:eastAsia="宋体"/>
                  <w:i/>
                  <w:sz w:val="21"/>
                  <w:szCs w:val="21"/>
                </w:rPr>
              </m:ctrlPr>
            </m:sSupPr>
            <m:e>
              <m:r>
                <m:rPr/>
                <w:rPr>
                  <w:rFonts w:ascii="Cambria Math" w:hAnsi="Cambria Math" w:eastAsia="宋体"/>
                  <w:sz w:val="21"/>
                  <w:szCs w:val="21"/>
                </w:rPr>
                <m:t>z</m:t>
              </m:r>
              <m:ctrlPr>
                <w:rPr>
                  <w:rFonts w:ascii="Cambria Math" w:hAnsi="Cambria Math" w:eastAsia="宋体"/>
                  <w:i/>
                  <w:sz w:val="21"/>
                  <w:szCs w:val="21"/>
                </w:rPr>
              </m:ctrlPr>
            </m:e>
            <m:sup>
              <m:d>
                <m:dPr>
                  <m:ctrlPr>
                    <w:rPr>
                      <w:rFonts w:ascii="Cambria Math" w:hAnsi="Cambria Math" w:eastAsia="宋体"/>
                      <w:i/>
                      <w:sz w:val="21"/>
                      <w:szCs w:val="21"/>
                    </w:rPr>
                  </m:ctrlPr>
                </m:dPr>
                <m:e>
                  <m:r>
                    <m:rPr/>
                    <w:rPr>
                      <w:rFonts w:ascii="Cambria Math" w:hAnsi="Cambria Math" w:eastAsia="宋体"/>
                      <w:sz w:val="21"/>
                      <w:szCs w:val="21"/>
                    </w:rPr>
                    <m:t>k</m:t>
                  </m:r>
                  <m:ctrlPr>
                    <w:rPr>
                      <w:rFonts w:ascii="Cambria Math" w:hAnsi="Cambria Math" w:eastAsia="宋体"/>
                      <w:i/>
                      <w:sz w:val="21"/>
                      <w:szCs w:val="21"/>
                    </w:rPr>
                  </m:ctrlPr>
                </m:e>
              </m:d>
              <m:ctrlPr>
                <w:rPr>
                  <w:rFonts w:ascii="Cambria Math" w:hAnsi="Cambria Math" w:eastAsia="宋体"/>
                  <w:i/>
                  <w:sz w:val="21"/>
                  <w:szCs w:val="21"/>
                </w:rPr>
              </m:ctrlPr>
            </m:sup>
          </m:sSup>
        </m:oMath>
      </m:oMathPara>
    </w:p>
    <w:p w14:paraId="540A8E50">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其中</w:t>
      </w:r>
      <w:r>
        <w:rPr>
          <w:rFonts w:ascii="宋体" w:hAnsi="宋体" w:eastAsia="宋体"/>
          <w:sz w:val="21"/>
          <w:szCs w:val="21"/>
        </w:rPr>
        <w:t xml:space="preserve"> </w:t>
      </w:r>
      <m:oMath>
        <m:sSup>
          <m:sSupPr>
            <m:ctrlPr>
              <w:rPr>
                <w:rFonts w:ascii="Cambria Math" w:hAnsi="Cambria Math" w:eastAsia="宋体"/>
                <w:i/>
                <w:sz w:val="21"/>
                <w:szCs w:val="21"/>
              </w:rPr>
            </m:ctrlPr>
          </m:sSupPr>
          <m:e>
            <m:r>
              <m:rPr/>
              <w:rPr>
                <w:rFonts w:ascii="Cambria Math" w:hAnsi="Cambria Math" w:eastAsia="宋体"/>
                <w:sz w:val="21"/>
                <w:szCs w:val="21"/>
              </w:rPr>
              <m:t>z</m:t>
            </m:r>
            <m:ctrlPr>
              <w:rPr>
                <w:rFonts w:ascii="Cambria Math" w:hAnsi="Cambria Math" w:eastAsia="宋体"/>
                <w:i/>
                <w:sz w:val="21"/>
                <w:szCs w:val="21"/>
              </w:rPr>
            </m:ctrlPr>
          </m:e>
          <m:sup>
            <m:d>
              <m:dPr>
                <m:ctrlPr>
                  <w:rPr>
                    <w:rFonts w:ascii="Cambria Math" w:hAnsi="Cambria Math" w:eastAsia="宋体"/>
                    <w:i/>
                    <w:sz w:val="21"/>
                    <w:szCs w:val="21"/>
                  </w:rPr>
                </m:ctrlPr>
              </m:dPr>
              <m:e>
                <m:r>
                  <m:rPr/>
                  <w:rPr>
                    <w:rFonts w:ascii="Cambria Math" w:hAnsi="Cambria Math" w:eastAsia="宋体"/>
                    <w:sz w:val="21"/>
                    <w:szCs w:val="21"/>
                  </w:rPr>
                  <m:t>k</m:t>
                </m:r>
                <m:ctrlPr>
                  <w:rPr>
                    <w:rFonts w:ascii="Cambria Math" w:hAnsi="Cambria Math" w:eastAsia="宋体"/>
                    <w:i/>
                    <w:sz w:val="21"/>
                    <w:szCs w:val="21"/>
                  </w:rPr>
                </m:ctrlPr>
              </m:e>
            </m:d>
            <m:ctrlPr>
              <w:rPr>
                <w:rFonts w:ascii="Cambria Math" w:hAnsi="Cambria Math" w:eastAsia="宋体"/>
                <w:i/>
                <w:sz w:val="21"/>
                <w:szCs w:val="21"/>
              </w:rPr>
            </m:ctrlPr>
          </m:sup>
        </m:sSup>
        <m:r>
          <m:rPr/>
          <w:rPr>
            <w:rFonts w:ascii="Cambria Math" w:hAnsi="Cambria Math" w:eastAsia="宋体"/>
            <w:sz w:val="21"/>
            <w:szCs w:val="21"/>
          </w:rPr>
          <m:t>=X</m:t>
        </m:r>
        <m:sSup>
          <m:sSupPr>
            <m:ctrlPr>
              <w:rPr>
                <w:rFonts w:ascii="Cambria Math" w:hAnsi="Cambria Math" w:eastAsia="宋体"/>
                <w:i/>
                <w:sz w:val="21"/>
                <w:szCs w:val="21"/>
              </w:rPr>
            </m:ctrlPr>
          </m:sSupPr>
          <m:e>
            <m:r>
              <m:rPr>
                <m:sty m:val="p"/>
              </m:rPr>
              <w:rPr>
                <w:rFonts w:ascii="Cambria Math" w:hAnsi="Cambria Math" w:eastAsia="宋体"/>
                <w:sz w:val="21"/>
                <w:szCs w:val="21"/>
              </w:rPr>
              <m:t>β</m:t>
            </m:r>
            <m:ctrlPr>
              <w:rPr>
                <w:rFonts w:ascii="Cambria Math" w:hAnsi="Cambria Math" w:eastAsia="宋体"/>
                <w:i/>
                <w:sz w:val="21"/>
                <w:szCs w:val="21"/>
              </w:rPr>
            </m:ctrlPr>
          </m:e>
          <m:sup>
            <m:d>
              <m:dPr>
                <m:ctrlPr>
                  <w:rPr>
                    <w:rFonts w:ascii="Cambria Math" w:hAnsi="Cambria Math" w:eastAsia="宋体"/>
                    <w:i/>
                    <w:sz w:val="21"/>
                    <w:szCs w:val="21"/>
                  </w:rPr>
                </m:ctrlPr>
              </m:dPr>
              <m:e>
                <m:r>
                  <m:rPr/>
                  <w:rPr>
                    <w:rFonts w:ascii="Cambria Math" w:hAnsi="Cambria Math" w:eastAsia="宋体"/>
                    <w:sz w:val="21"/>
                    <w:szCs w:val="21"/>
                  </w:rPr>
                  <m:t>k</m:t>
                </m:r>
                <m:ctrlPr>
                  <w:rPr>
                    <w:rFonts w:ascii="Cambria Math" w:hAnsi="Cambria Math" w:eastAsia="宋体"/>
                    <w:i/>
                    <w:sz w:val="21"/>
                    <w:szCs w:val="21"/>
                  </w:rPr>
                </m:ctrlPr>
              </m:e>
            </m:d>
            <m:ctrlPr>
              <w:rPr>
                <w:rFonts w:ascii="Cambria Math" w:hAnsi="Cambria Math" w:eastAsia="宋体"/>
                <w:i/>
                <w:sz w:val="21"/>
                <w:szCs w:val="21"/>
              </w:rPr>
            </m:ctrlPr>
          </m:sup>
        </m:sSup>
        <m:r>
          <m:rPr/>
          <w:rPr>
            <w:rFonts w:ascii="Cambria Math" w:hAnsi="Cambria Math" w:eastAsia="宋体"/>
            <w:sz w:val="21"/>
            <w:szCs w:val="21"/>
          </w:rPr>
          <m:t>+</m:t>
        </m:r>
        <m:sSup>
          <m:sSupPr>
            <m:ctrlPr>
              <w:rPr>
                <w:rFonts w:ascii="Cambria Math" w:hAnsi="Cambria Math" w:eastAsia="宋体"/>
                <w:i/>
                <w:sz w:val="21"/>
                <w:szCs w:val="21"/>
              </w:rPr>
            </m:ctrlPr>
          </m:sSupPr>
          <m:e>
            <m:r>
              <m:rPr/>
              <w:rPr>
                <w:rFonts w:ascii="Cambria Math" w:hAnsi="Cambria Math" w:eastAsia="宋体"/>
                <w:sz w:val="21"/>
                <w:szCs w:val="21"/>
              </w:rPr>
              <m:t>W</m:t>
            </m:r>
            <m:ctrlPr>
              <w:rPr>
                <w:rFonts w:ascii="Cambria Math" w:hAnsi="Cambria Math" w:eastAsia="宋体"/>
                <w:i/>
                <w:sz w:val="21"/>
                <w:szCs w:val="21"/>
              </w:rPr>
            </m:ctrlPr>
          </m:e>
          <m:sup>
            <m:r>
              <m:rPr/>
              <w:rPr>
                <w:rFonts w:ascii="Cambria Math" w:hAnsi="Cambria Math" w:eastAsia="宋体"/>
                <w:sz w:val="21"/>
                <w:szCs w:val="21"/>
              </w:rPr>
              <m:t>−1</m:t>
            </m:r>
            <m:ctrlPr>
              <w:rPr>
                <w:rFonts w:ascii="Cambria Math" w:hAnsi="Cambria Math" w:eastAsia="宋体"/>
                <w:i/>
                <w:sz w:val="21"/>
                <w:szCs w:val="21"/>
              </w:rPr>
            </m:ctrlPr>
          </m:sup>
        </m:sSup>
        <m:d>
          <m:dPr>
            <m:ctrlPr>
              <w:rPr>
                <w:rFonts w:ascii="Cambria Math" w:hAnsi="Cambria Math" w:eastAsia="宋体"/>
                <w:i/>
                <w:sz w:val="21"/>
                <w:szCs w:val="21"/>
              </w:rPr>
            </m:ctrlPr>
          </m:dPr>
          <m:e>
            <m:r>
              <m:rPr/>
              <w:rPr>
                <w:rFonts w:ascii="Cambria Math" w:hAnsi="Cambria Math" w:eastAsia="宋体"/>
                <w:sz w:val="21"/>
                <w:szCs w:val="21"/>
              </w:rPr>
              <m:t>y−</m:t>
            </m:r>
            <m:sSup>
              <m:sSupPr>
                <m:ctrlPr>
                  <w:rPr>
                    <w:rFonts w:ascii="Cambria Math" w:hAnsi="Cambria Math" w:eastAsia="宋体"/>
                    <w:i/>
                    <w:sz w:val="21"/>
                    <w:szCs w:val="21"/>
                  </w:rPr>
                </m:ctrlPr>
              </m:sSupPr>
              <m:e>
                <m:r>
                  <m:rPr/>
                  <w:rPr>
                    <w:rFonts w:ascii="Cambria Math" w:hAnsi="Cambria Math" w:eastAsia="宋体"/>
                    <w:sz w:val="21"/>
                    <w:szCs w:val="21"/>
                  </w:rPr>
                  <m:t>p</m:t>
                </m:r>
                <m:ctrlPr>
                  <w:rPr>
                    <w:rFonts w:ascii="Cambria Math" w:hAnsi="Cambria Math" w:eastAsia="宋体"/>
                    <w:i/>
                    <w:sz w:val="21"/>
                    <w:szCs w:val="21"/>
                  </w:rPr>
                </m:ctrlPr>
              </m:e>
              <m:sup>
                <m:d>
                  <m:dPr>
                    <m:ctrlPr>
                      <w:rPr>
                        <w:rFonts w:ascii="Cambria Math" w:hAnsi="Cambria Math" w:eastAsia="宋体"/>
                        <w:i/>
                        <w:sz w:val="21"/>
                        <w:szCs w:val="21"/>
                      </w:rPr>
                    </m:ctrlPr>
                  </m:dPr>
                  <m:e>
                    <m:r>
                      <m:rPr/>
                      <w:rPr>
                        <w:rFonts w:ascii="Cambria Math" w:hAnsi="Cambria Math" w:eastAsia="宋体"/>
                        <w:sz w:val="21"/>
                        <w:szCs w:val="21"/>
                      </w:rPr>
                      <m:t>k</m:t>
                    </m:r>
                    <m:ctrlPr>
                      <w:rPr>
                        <w:rFonts w:ascii="Cambria Math" w:hAnsi="Cambria Math" w:eastAsia="宋体"/>
                        <w:i/>
                        <w:sz w:val="21"/>
                        <w:szCs w:val="21"/>
                      </w:rPr>
                    </m:ctrlPr>
                  </m:e>
                </m:d>
                <m:ctrlPr>
                  <w:rPr>
                    <w:rFonts w:ascii="Cambria Math" w:hAnsi="Cambria Math" w:eastAsia="宋体"/>
                    <w:i/>
                    <w:sz w:val="21"/>
                    <w:szCs w:val="21"/>
                  </w:rPr>
                </m:ctrlPr>
              </m:sup>
            </m:sSup>
            <m:ctrlPr>
              <w:rPr>
                <w:rFonts w:ascii="Cambria Math" w:hAnsi="Cambria Math" w:eastAsia="宋体"/>
                <w:i/>
                <w:sz w:val="21"/>
                <w:szCs w:val="21"/>
              </w:rPr>
            </m:ctrlPr>
          </m:e>
        </m:d>
      </m:oMath>
      <w:r>
        <w:rPr>
          <w:rFonts w:ascii="宋体" w:hAnsi="宋体" w:eastAsia="宋体"/>
          <w:sz w:val="21"/>
          <w:szCs w:val="21"/>
        </w:rPr>
        <w:t xml:space="preserve">为工作响应变量  </w:t>
      </w:r>
    </w:p>
    <w:p w14:paraId="34026782">
      <w:pPr>
        <w:spacing w:line="240" w:lineRule="auto"/>
        <w:ind w:firstLine="420" w:firstLineChars="200"/>
        <w:rPr>
          <w:rFonts w:hint="eastAsia" w:ascii="宋体" w:hAnsi="宋体" w:eastAsia="宋体"/>
          <w:sz w:val="21"/>
          <w:szCs w:val="21"/>
        </w:rPr>
      </w:pPr>
      <w:r>
        <w:rPr>
          <w:rFonts w:ascii="宋体" w:hAnsi="宋体" w:eastAsia="宋体"/>
          <w:sz w:val="21"/>
          <w:szCs w:val="21"/>
        </w:rPr>
        <w:t xml:space="preserve">4. 收敛判断：当相邻迭代的系数变化范数 </w:t>
      </w:r>
      <m:oMath>
        <m:d>
          <m:dPr>
            <m:begChr m:val="|"/>
            <m:endChr m:val="|"/>
            <m:ctrlPr>
              <w:rPr>
                <w:rFonts w:ascii="Cambria Math" w:hAnsi="Cambria Math" w:eastAsia="宋体"/>
                <w:i/>
                <w:sz w:val="21"/>
                <w:szCs w:val="21"/>
              </w:rPr>
            </m:ctrlPr>
          </m:dPr>
          <m:e>
            <m:d>
              <m:dPr>
                <m:begChr m:val="|"/>
                <m:endChr m:val="|"/>
                <m:ctrlPr>
                  <w:rPr>
                    <w:rFonts w:ascii="Cambria Math" w:hAnsi="Cambria Math" w:eastAsia="宋体"/>
                    <w:i/>
                    <w:sz w:val="21"/>
                    <w:szCs w:val="21"/>
                  </w:rPr>
                </m:ctrlPr>
              </m:dPr>
              <m:e>
                <m:sSup>
                  <m:sSupPr>
                    <m:ctrlPr>
                      <w:rPr>
                        <w:rFonts w:ascii="Cambria Math" w:hAnsi="Cambria Math" w:eastAsia="宋体"/>
                        <w:i/>
                        <w:sz w:val="21"/>
                        <w:szCs w:val="21"/>
                      </w:rPr>
                    </m:ctrlPr>
                  </m:sSupPr>
                  <m:e>
                    <m:r>
                      <m:rPr>
                        <m:sty m:val="p"/>
                      </m:rPr>
                      <w:rPr>
                        <w:rFonts w:ascii="Cambria Math" w:hAnsi="Cambria Math" w:eastAsia="宋体"/>
                        <w:sz w:val="21"/>
                        <w:szCs w:val="21"/>
                      </w:rPr>
                      <m:t>β</m:t>
                    </m:r>
                    <m:ctrlPr>
                      <w:rPr>
                        <w:rFonts w:ascii="Cambria Math" w:hAnsi="Cambria Math" w:eastAsia="宋体"/>
                        <w:i/>
                        <w:sz w:val="21"/>
                        <w:szCs w:val="21"/>
                      </w:rPr>
                    </m:ctrlPr>
                  </m:e>
                  <m:sup>
                    <m:d>
                      <m:dPr>
                        <m:ctrlPr>
                          <w:rPr>
                            <w:rFonts w:ascii="Cambria Math" w:hAnsi="Cambria Math" w:eastAsia="宋体"/>
                            <w:i/>
                            <w:sz w:val="21"/>
                            <w:szCs w:val="21"/>
                          </w:rPr>
                        </m:ctrlPr>
                      </m:dPr>
                      <m:e>
                        <m:r>
                          <m:rPr/>
                          <w:rPr>
                            <w:rFonts w:ascii="Cambria Math" w:hAnsi="Cambria Math" w:eastAsia="宋体"/>
                            <w:sz w:val="21"/>
                            <w:szCs w:val="21"/>
                          </w:rPr>
                          <m:t>k+1</m:t>
                        </m:r>
                        <m:ctrlPr>
                          <w:rPr>
                            <w:rFonts w:ascii="Cambria Math" w:hAnsi="Cambria Math" w:eastAsia="宋体"/>
                            <w:i/>
                            <w:sz w:val="21"/>
                            <w:szCs w:val="21"/>
                          </w:rPr>
                        </m:ctrlPr>
                      </m:e>
                    </m:d>
                    <m:ctrlPr>
                      <w:rPr>
                        <w:rFonts w:ascii="Cambria Math" w:hAnsi="Cambria Math" w:eastAsia="宋体"/>
                        <w:i/>
                        <w:sz w:val="21"/>
                        <w:szCs w:val="21"/>
                      </w:rPr>
                    </m:ctrlPr>
                  </m:sup>
                </m:sSup>
                <m:r>
                  <m:rPr/>
                  <w:rPr>
                    <w:rFonts w:ascii="Cambria Math" w:hAnsi="Cambria Math" w:eastAsia="宋体"/>
                    <w:sz w:val="21"/>
                    <w:szCs w:val="21"/>
                  </w:rPr>
                  <m:t>−</m:t>
                </m:r>
                <m:sSup>
                  <m:sSupPr>
                    <m:ctrlPr>
                      <w:rPr>
                        <w:rFonts w:ascii="Cambria Math" w:hAnsi="Cambria Math" w:eastAsia="宋体"/>
                        <w:i/>
                        <w:sz w:val="21"/>
                        <w:szCs w:val="21"/>
                      </w:rPr>
                    </m:ctrlPr>
                  </m:sSupPr>
                  <m:e>
                    <m:r>
                      <m:rPr>
                        <m:sty m:val="p"/>
                      </m:rPr>
                      <w:rPr>
                        <w:rFonts w:ascii="Cambria Math" w:hAnsi="Cambria Math" w:eastAsia="宋体"/>
                        <w:sz w:val="21"/>
                        <w:szCs w:val="21"/>
                      </w:rPr>
                      <m:t>β</m:t>
                    </m:r>
                    <m:ctrlPr>
                      <w:rPr>
                        <w:rFonts w:ascii="Cambria Math" w:hAnsi="Cambria Math" w:eastAsia="宋体"/>
                        <w:i/>
                        <w:sz w:val="21"/>
                        <w:szCs w:val="21"/>
                      </w:rPr>
                    </m:ctrlPr>
                  </m:e>
                  <m:sup>
                    <m:d>
                      <m:dPr>
                        <m:ctrlPr>
                          <w:rPr>
                            <w:rFonts w:ascii="Cambria Math" w:hAnsi="Cambria Math" w:eastAsia="宋体"/>
                            <w:i/>
                            <w:sz w:val="21"/>
                            <w:szCs w:val="21"/>
                          </w:rPr>
                        </m:ctrlPr>
                      </m:dPr>
                      <m:e>
                        <m:r>
                          <m:rPr/>
                          <w:rPr>
                            <w:rFonts w:ascii="Cambria Math" w:hAnsi="Cambria Math" w:eastAsia="宋体"/>
                            <w:sz w:val="21"/>
                            <w:szCs w:val="21"/>
                          </w:rPr>
                          <m:t>k</m:t>
                        </m:r>
                        <m:ctrlPr>
                          <w:rPr>
                            <w:rFonts w:ascii="Cambria Math" w:hAnsi="Cambria Math" w:eastAsia="宋体"/>
                            <w:i/>
                            <w:sz w:val="21"/>
                            <w:szCs w:val="21"/>
                          </w:rPr>
                        </m:ctrlPr>
                      </m:e>
                    </m:d>
                    <m:ctrlPr>
                      <w:rPr>
                        <w:rFonts w:ascii="Cambria Math" w:hAnsi="Cambria Math" w:eastAsia="宋体"/>
                        <w:i/>
                        <w:sz w:val="21"/>
                        <w:szCs w:val="21"/>
                      </w:rPr>
                    </m:ctrlPr>
                  </m:sup>
                </m:sSup>
                <m:ctrlPr>
                  <w:rPr>
                    <w:rFonts w:ascii="Cambria Math" w:hAnsi="Cambria Math" w:eastAsia="宋体"/>
                    <w:i/>
                    <w:sz w:val="21"/>
                    <w:szCs w:val="21"/>
                  </w:rPr>
                </m:ctrlPr>
              </m:e>
            </m:d>
            <m:ctrlPr>
              <w:rPr>
                <w:rFonts w:ascii="Cambria Math" w:hAnsi="Cambria Math" w:eastAsia="宋体"/>
                <w:i/>
                <w:sz w:val="21"/>
                <w:szCs w:val="21"/>
              </w:rPr>
            </m:ctrlPr>
          </m:e>
        </m:d>
        <m:r>
          <m:rPr/>
          <w:rPr>
            <w:rFonts w:ascii="Cambria Math" w:hAnsi="Cambria Math" w:eastAsia="宋体"/>
            <w:sz w:val="21"/>
            <w:szCs w:val="21"/>
          </w:rPr>
          <m:t>&lt;</m:t>
        </m:r>
        <m:sSup>
          <m:sSupPr>
            <m:ctrlPr>
              <w:rPr>
                <w:rFonts w:ascii="Cambria Math" w:hAnsi="Cambria Math" w:eastAsia="宋体"/>
                <w:i/>
                <w:sz w:val="21"/>
                <w:szCs w:val="21"/>
              </w:rPr>
            </m:ctrlPr>
          </m:sSupPr>
          <m:e>
            <m:r>
              <m:rPr/>
              <w:rPr>
                <w:rFonts w:ascii="Cambria Math" w:hAnsi="Cambria Math" w:eastAsia="宋体"/>
                <w:sz w:val="21"/>
                <w:szCs w:val="21"/>
              </w:rPr>
              <m:t>10</m:t>
            </m:r>
            <m:ctrlPr>
              <w:rPr>
                <w:rFonts w:ascii="Cambria Math" w:hAnsi="Cambria Math" w:eastAsia="宋体"/>
                <w:i/>
                <w:sz w:val="21"/>
                <w:szCs w:val="21"/>
              </w:rPr>
            </m:ctrlPr>
          </m:e>
          <m:sup>
            <m:r>
              <m:rPr/>
              <w:rPr>
                <w:rFonts w:ascii="Cambria Math" w:hAnsi="Cambria Math" w:eastAsia="宋体"/>
                <w:sz w:val="21"/>
                <w:szCs w:val="21"/>
              </w:rPr>
              <m:t>−6</m:t>
            </m:r>
            <m:ctrlPr>
              <w:rPr>
                <w:rFonts w:ascii="Cambria Math" w:hAnsi="Cambria Math" w:eastAsia="宋体"/>
                <w:i/>
                <w:sz w:val="21"/>
                <w:szCs w:val="21"/>
              </w:rPr>
            </m:ctrlPr>
          </m:sup>
        </m:sSup>
      </m:oMath>
      <w:r>
        <w:rPr>
          <w:rFonts w:ascii="宋体" w:hAnsi="宋体" w:eastAsia="宋体"/>
          <w:sz w:val="21"/>
          <w:szCs w:val="21"/>
        </w:rPr>
        <w:t xml:space="preserve"> 时终止  </w:t>
      </w:r>
    </w:p>
    <w:p w14:paraId="5B49B4E6">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在本次实验中，模型参数可解释为：</w:t>
      </w:r>
      <w:r>
        <w:rPr>
          <w:rFonts w:ascii="宋体" w:hAnsi="宋体" w:eastAsia="宋体"/>
          <w:sz w:val="21"/>
          <w:szCs w:val="21"/>
        </w:rPr>
        <w:t xml:space="preserve">  </w:t>
      </w:r>
    </w:p>
    <w:p w14:paraId="35ADD11E">
      <w:pPr>
        <w:spacing w:line="240" w:lineRule="auto"/>
        <w:ind w:firstLine="420" w:firstLineChars="200"/>
        <w:rPr>
          <w:rFonts w:hint="eastAsia" w:ascii="宋体" w:hAnsi="宋体" w:eastAsia="宋体"/>
          <w:sz w:val="21"/>
          <w:szCs w:val="21"/>
        </w:rPr>
      </w:pPr>
      <w:r>
        <w:rPr>
          <w:rFonts w:ascii="宋体" w:hAnsi="宋体" w:eastAsia="宋体"/>
          <w:sz w:val="21"/>
          <w:szCs w:val="21"/>
        </w:rPr>
        <w:t>声调边界（x</w:t>
      </w:r>
      <w:r>
        <w:rPr>
          <w:rFonts w:ascii="Cambria Math" w:hAnsi="Cambria Math" w:eastAsia="宋体" w:cs="Cambria Math"/>
          <w:sz w:val="21"/>
          <w:szCs w:val="21"/>
        </w:rPr>
        <w:t>₀</w:t>
      </w:r>
      <w:r>
        <w:rPr>
          <w:rFonts w:ascii="宋体" w:hAnsi="宋体" w:eastAsia="宋体"/>
          <w:sz w:val="21"/>
          <w:szCs w:val="21"/>
        </w:rPr>
        <w:t xml:space="preserve">）：当 </w:t>
      </w:r>
      <m:oMath>
        <m:r>
          <m:rPr/>
          <w:rPr>
            <w:rFonts w:ascii="Cambria Math" w:hAnsi="Cambria Math" w:eastAsia="宋体"/>
            <w:sz w:val="21"/>
            <w:szCs w:val="21"/>
          </w:rPr>
          <m:t>P</m:t>
        </m:r>
        <m:d>
          <m:dPr>
            <m:ctrlPr>
              <w:rPr>
                <w:rFonts w:ascii="Cambria Math" w:hAnsi="Cambria Math" w:eastAsia="宋体"/>
                <w:i/>
                <w:sz w:val="21"/>
                <w:szCs w:val="21"/>
              </w:rPr>
            </m:ctrlPr>
          </m:dPr>
          <m:e>
            <m:r>
              <m:rPr/>
              <w:rPr>
                <w:rFonts w:ascii="Cambria Math" w:hAnsi="Cambria Math" w:eastAsia="宋体"/>
                <w:sz w:val="21"/>
                <w:szCs w:val="21"/>
              </w:rPr>
              <m:t>Y=1</m:t>
            </m:r>
            <m:ctrlPr>
              <w:rPr>
                <w:rFonts w:ascii="Cambria Math" w:hAnsi="Cambria Math" w:eastAsia="宋体"/>
                <w:i/>
                <w:sz w:val="21"/>
                <w:szCs w:val="21"/>
              </w:rPr>
            </m:ctrlPr>
          </m:e>
        </m:d>
        <m:r>
          <m:rPr/>
          <w:rPr>
            <w:rFonts w:ascii="Cambria Math" w:hAnsi="Cambria Math" w:eastAsia="宋体"/>
            <w:sz w:val="21"/>
            <w:szCs w:val="21"/>
          </w:rPr>
          <m:t>=0.5</m:t>
        </m:r>
      </m:oMath>
      <w:r>
        <w:rPr>
          <w:rFonts w:ascii="宋体" w:hAnsi="宋体" w:eastAsia="宋体"/>
          <w:sz w:val="21"/>
          <w:szCs w:val="21"/>
        </w:rPr>
        <w:t>时对应的基频值，由</w:t>
      </w:r>
      <m:oMath>
        <m:sSup>
          <m:sSupPr>
            <m:ctrlPr>
              <w:rPr>
                <w:rFonts w:ascii="Cambria Math" w:hAnsi="Cambria Math" w:eastAsia="宋体" w:cs="Cambria Math"/>
                <w:i/>
                <w:sz w:val="21"/>
                <w:szCs w:val="21"/>
              </w:rPr>
            </m:ctrlPr>
          </m:sSupPr>
          <m:e>
            <m:r>
              <m:rPr/>
              <w:rPr>
                <w:rFonts w:ascii="Cambria Math" w:hAnsi="Cambria Math" w:eastAsia="宋体"/>
                <w:sz w:val="21"/>
                <w:szCs w:val="21"/>
              </w:rPr>
              <m:t>x</m:t>
            </m:r>
            <m:ctrlPr>
              <w:rPr>
                <w:rFonts w:ascii="Cambria Math" w:hAnsi="Cambria Math" w:eastAsia="宋体"/>
                <w:i/>
                <w:sz w:val="21"/>
                <w:szCs w:val="21"/>
              </w:rPr>
            </m:ctrlPr>
          </m:e>
          <m:sup>
            <m:r>
              <m:rPr/>
              <w:rPr>
                <w:rFonts w:ascii="Cambria Math" w:hAnsi="Cambria Math" w:eastAsia="宋体" w:cs="Cambria Math"/>
                <w:sz w:val="21"/>
                <w:szCs w:val="21"/>
              </w:rPr>
              <m:t>0</m:t>
            </m:r>
            <m:ctrlPr>
              <w:rPr>
                <w:rFonts w:ascii="Cambria Math" w:hAnsi="Cambria Math" w:eastAsia="宋体" w:cs="Cambria Math"/>
                <w:i/>
                <w:sz w:val="21"/>
                <w:szCs w:val="21"/>
              </w:rPr>
            </m:ctrlPr>
          </m:sup>
        </m:sSup>
        <m:r>
          <m:rPr/>
          <w:rPr>
            <w:rFonts w:ascii="Cambria Math" w:hAnsi="Cambria Math" w:eastAsia="宋体"/>
            <w:sz w:val="21"/>
            <w:szCs w:val="21"/>
          </w:rPr>
          <m:t>=−</m:t>
        </m:r>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i/>
                <w:sz w:val="21"/>
                <w:szCs w:val="21"/>
              </w:rPr>
            </m:ctrlPr>
          </m:e>
          <m:sub>
            <m:r>
              <m:rPr/>
              <w:rPr>
                <w:rFonts w:ascii="Cambria Math" w:hAnsi="Cambria Math" w:eastAsia="宋体"/>
                <w:sz w:val="21"/>
                <w:szCs w:val="21"/>
              </w:rPr>
              <m:t>0</m:t>
            </m:r>
            <m:ctrlPr>
              <w:rPr>
                <w:rFonts w:ascii="Cambria Math" w:hAnsi="Cambria Math" w:eastAsia="宋体"/>
                <w:i/>
                <w:sz w:val="21"/>
                <w:szCs w:val="21"/>
              </w:rPr>
            </m:ctrlPr>
          </m:sub>
        </m:sSub>
        <m:r>
          <m:rPr>
            <m:lit/>
          </m:rPr>
          <w:rPr>
            <w:rFonts w:ascii="Cambria Math" w:hAnsi="Cambria Math" w:eastAsia="宋体"/>
            <w:sz w:val="21"/>
            <w:szCs w:val="21"/>
          </w:rPr>
          <m:t>/</m:t>
        </m:r>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sz w:val="21"/>
                <w:szCs w:val="21"/>
              </w:rPr>
            </m:ctrlPr>
          </m:e>
          <m:sub>
            <m:r>
              <m:rPr/>
              <w:rPr>
                <w:rFonts w:ascii="Cambria Math" w:hAnsi="Cambria Math" w:eastAsia="宋体"/>
                <w:sz w:val="21"/>
                <w:szCs w:val="21"/>
              </w:rPr>
              <m:t>1</m:t>
            </m:r>
            <m:ctrlPr>
              <w:rPr>
                <w:rFonts w:ascii="Cambria Math" w:hAnsi="Cambria Math" w:eastAsia="宋体"/>
                <w:i/>
                <w:sz w:val="21"/>
                <w:szCs w:val="21"/>
              </w:rPr>
            </m:ctrlPr>
          </m:sub>
        </m:sSub>
      </m:oMath>
      <w:r>
        <w:rPr>
          <w:rFonts w:ascii="宋体" w:hAnsi="宋体" w:eastAsia="宋体"/>
          <w:sz w:val="21"/>
          <w:szCs w:val="21"/>
        </w:rPr>
        <w:t xml:space="preserve"> 计算得出。该值反映被试的心理物理分类阈值。  </w:t>
      </w:r>
    </w:p>
    <w:p w14:paraId="683C4583">
      <w:pPr>
        <w:spacing w:line="240" w:lineRule="auto"/>
        <w:ind w:firstLine="420" w:firstLineChars="200"/>
        <w:rPr>
          <w:rFonts w:hint="eastAsia" w:ascii="宋体" w:hAnsi="宋体" w:eastAsia="宋体"/>
          <w:sz w:val="21"/>
          <w:szCs w:val="21"/>
        </w:rPr>
      </w:pPr>
      <w:r>
        <w:rPr>
          <w:rFonts w:ascii="宋体" w:hAnsi="宋体" w:eastAsia="宋体"/>
          <w:sz w:val="21"/>
          <w:szCs w:val="21"/>
        </w:rPr>
        <w:t>感知敏感度</w:t>
      </w:r>
      <m:oMath>
        <m:d>
          <m:dPr>
            <m:begChr m:val="（"/>
            <m:endChr m:val="）"/>
            <m:ctrlPr>
              <w:rPr>
                <w:rFonts w:ascii="Cambria Math" w:hAnsi="Cambria Math" w:eastAsia="宋体"/>
                <w:i/>
                <w:sz w:val="21"/>
                <w:szCs w:val="21"/>
              </w:rPr>
            </m:ctrlPr>
          </m:dPr>
          <m:e>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sz w:val="21"/>
                    <w:szCs w:val="21"/>
                  </w:rPr>
                </m:ctrlPr>
              </m:e>
              <m:sub>
                <m:r>
                  <m:rPr/>
                  <w:rPr>
                    <w:rFonts w:ascii="Cambria Math" w:hAnsi="Cambria Math" w:eastAsia="宋体"/>
                    <w:sz w:val="21"/>
                    <w:szCs w:val="21"/>
                  </w:rPr>
                  <m:t>1</m:t>
                </m:r>
                <m:ctrlPr>
                  <w:rPr>
                    <w:rFonts w:ascii="Cambria Math" w:hAnsi="Cambria Math" w:eastAsia="宋体"/>
                    <w:i/>
                    <w:sz w:val="21"/>
                    <w:szCs w:val="21"/>
                  </w:rPr>
                </m:ctrlPr>
              </m:sub>
            </m:sSub>
            <m:ctrlPr>
              <w:rPr>
                <w:rFonts w:ascii="Cambria Math" w:hAnsi="Cambria Math" w:eastAsia="宋体"/>
                <w:i/>
                <w:sz w:val="21"/>
                <w:szCs w:val="21"/>
              </w:rPr>
            </m:ctrlPr>
          </m:e>
        </m:d>
      </m:oMath>
      <w:r>
        <w:rPr>
          <w:rFonts w:ascii="宋体" w:hAnsi="宋体" w:eastAsia="宋体"/>
          <w:sz w:val="21"/>
          <w:szCs w:val="21"/>
        </w:rPr>
        <w:t>：斜率绝对值越大，表明基频变化引起的分类概率变化越剧烈（例如，</w:t>
      </w:r>
      <m:oMath>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sz w:val="21"/>
                <w:szCs w:val="21"/>
              </w:rPr>
            </m:ctrlPr>
          </m:e>
          <m:sub>
            <m:r>
              <m:rPr/>
              <w:rPr>
                <w:rFonts w:ascii="Cambria Math" w:hAnsi="Cambria Math" w:eastAsia="宋体"/>
                <w:sz w:val="21"/>
                <w:szCs w:val="21"/>
              </w:rPr>
              <m:t>1</m:t>
            </m:r>
            <m:ctrlPr>
              <w:rPr>
                <w:rFonts w:ascii="Cambria Math" w:hAnsi="Cambria Math" w:eastAsia="宋体"/>
                <w:i/>
                <w:sz w:val="21"/>
                <w:szCs w:val="21"/>
              </w:rPr>
            </m:ctrlPr>
          </m:sub>
        </m:sSub>
        <m:r>
          <m:rPr/>
          <w:rPr>
            <w:rFonts w:ascii="Cambria Math" w:hAnsi="Cambria Math" w:eastAsia="宋体"/>
            <w:sz w:val="21"/>
            <w:szCs w:val="21"/>
          </w:rPr>
          <m:t>=0.4</m:t>
        </m:r>
      </m:oMath>
      <w:r>
        <w:rPr>
          <w:rFonts w:ascii="宋体" w:hAnsi="宋体" w:eastAsia="宋体"/>
          <w:sz w:val="21"/>
          <w:szCs w:val="21"/>
        </w:rPr>
        <w:t xml:space="preserve"> 表示基频每增加1Hz，选择声调1的对数几率增加0.4单位）。  </w:t>
      </w:r>
    </w:p>
    <w:p w14:paraId="6B4395B8">
      <w:pPr>
        <w:spacing w:line="240" w:lineRule="auto"/>
        <w:ind w:firstLine="420" w:firstLineChars="200"/>
        <w:rPr>
          <w:rFonts w:hint="eastAsia" w:ascii="宋体" w:hAnsi="宋体" w:eastAsia="宋体"/>
          <w:sz w:val="21"/>
          <w:szCs w:val="21"/>
        </w:rPr>
      </w:pPr>
      <w:r>
        <w:rPr>
          <w:rFonts w:ascii="宋体" w:hAnsi="宋体" w:eastAsia="宋体"/>
          <w:sz w:val="21"/>
          <w:szCs w:val="21"/>
        </w:rPr>
        <w:t>个体/群体差异：通过比较不同年龄组或噪声条件下的</w:t>
      </w:r>
      <m:oMath>
        <m:sSub>
          <m:sSubPr>
            <m:ctrlPr>
              <w:rPr>
                <w:rFonts w:ascii="Cambria Math" w:hAnsi="Cambria Math" w:eastAsia="宋体"/>
                <w:i/>
                <w:sz w:val="21"/>
                <w:szCs w:val="21"/>
              </w:rPr>
            </m:ctrlPr>
          </m:sSubPr>
          <m:e>
            <m:r>
              <m:rPr>
                <m:sty m:val="p"/>
              </m:rPr>
              <w:rPr>
                <w:rFonts w:ascii="Cambria Math" w:hAnsi="Cambria Math" w:eastAsia="宋体"/>
                <w:sz w:val="21"/>
                <w:szCs w:val="21"/>
              </w:rPr>
              <m:t>β</m:t>
            </m:r>
            <m:ctrlPr>
              <w:rPr>
                <w:rFonts w:ascii="Cambria Math" w:hAnsi="Cambria Math" w:eastAsia="宋体"/>
                <w:sz w:val="21"/>
                <w:szCs w:val="21"/>
              </w:rPr>
            </m:ctrlPr>
          </m:e>
          <m:sub>
            <m:r>
              <m:rPr/>
              <w:rPr>
                <w:rFonts w:ascii="Cambria Math" w:hAnsi="Cambria Math" w:eastAsia="宋体"/>
                <w:sz w:val="21"/>
                <w:szCs w:val="21"/>
              </w:rPr>
              <m:t>1</m:t>
            </m:r>
            <m:ctrlPr>
              <w:rPr>
                <w:rFonts w:ascii="Cambria Math" w:hAnsi="Cambria Math" w:eastAsia="宋体"/>
                <w:i/>
                <w:sz w:val="21"/>
                <w:szCs w:val="21"/>
              </w:rPr>
            </m:ctrlPr>
          </m:sub>
        </m:sSub>
      </m:oMath>
      <w:r>
        <w:rPr>
          <w:rFonts w:ascii="宋体" w:hAnsi="宋体" w:eastAsia="宋体"/>
          <w:sz w:val="21"/>
          <w:szCs w:val="21"/>
        </w:rPr>
        <w:t xml:space="preserve">值，可量化环境因素对声调感知锐度的影响。  </w:t>
      </w:r>
    </w:p>
    <w:p w14:paraId="33DB82A2">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Jaeger在2008年的研究中特别强调，虽然Probit模型同样适用于此类分析，但逻辑回归模型展现出两个关键优势。首先，该模型具有更强的临床解释力，其优势比能够直接量化自变量单位变化带来的影响程度。以基频变化为例，研究可以明确得出基频每提升1赫兹，被试识别为声调1的概率将增加49%这样的具体结论，这种直观的量化关系极大提升了研究结果的应用价值。其次，在计算稳定性方面，逻辑回归模型凭借其特有的逻辑函数分布特性，相比基于正态累积分布的Probit模型，对极端数据值具有更强的包容性。这一特性在处理低</w:t>
      </w:r>
      <w:r>
        <w:rPr>
          <w:rFonts w:hint="eastAsia" w:ascii="宋体" w:hAnsi="宋体" w:eastAsia="宋体"/>
          <w:sz w:val="21"/>
          <w:szCs w:val="21"/>
          <w:lang w:val="en-US" w:eastAsia="zh-CN"/>
        </w:rPr>
        <w:t>SNR，如-10dB</w:t>
      </w:r>
      <w:r>
        <w:rPr>
          <w:rFonts w:hint="eastAsia" w:ascii="宋体" w:hAnsi="宋体" w:eastAsia="宋体"/>
          <w:sz w:val="21"/>
          <w:szCs w:val="21"/>
        </w:rPr>
        <w:t>等复杂听觉环境下的实验数据时尤为重要，有效保证了分析结果的可靠性。正是基于这两方面的显著优势，逻辑回归成为声调感知范畴化研究中最具适用性的统计分析方法。</w:t>
      </w:r>
      <w:r>
        <w:rPr>
          <w:rFonts w:ascii="宋体" w:hAnsi="宋体" w:eastAsia="宋体"/>
          <w:sz w:val="21"/>
          <w:szCs w:val="21"/>
        </w:rPr>
        <w:t xml:space="preserve"> </w:t>
      </w:r>
    </w:p>
    <w:p w14:paraId="072F5C0B">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 xml:space="preserve">3.1.1 </w:t>
      </w:r>
      <w:r>
        <w:rPr>
          <w:rFonts w:ascii="黑体" w:hAnsi="黑体" w:eastAsia="黑体"/>
          <w:sz w:val="21"/>
          <w:szCs w:val="21"/>
        </w:rPr>
        <w:t>参数估计流程</w:t>
      </w:r>
    </w:p>
    <w:p w14:paraId="3EEAC7A5">
      <w:pPr>
        <w:spacing w:line="240" w:lineRule="auto"/>
        <w:ind w:firstLine="420" w:firstLineChars="0"/>
        <w:rPr>
          <w:rFonts w:hint="eastAsia" w:ascii="宋体" w:hAnsi="宋体" w:eastAsia="宋体"/>
          <w:sz w:val="21"/>
          <w:szCs w:val="21"/>
        </w:rPr>
      </w:pPr>
      <w:r>
        <w:rPr>
          <w:rFonts w:hint="eastAsia" w:ascii="宋体" w:hAnsi="宋体" w:eastAsia="宋体"/>
          <w:sz w:val="21"/>
          <w:szCs w:val="21"/>
        </w:rPr>
        <w:t>算法实施过程中采用交互式最大似然估计方法，具体使用Newton-Raphson迭代法进行计算，收敛阈值设定为1e-6。为避免模型过拟合问题，研究对β1系数施加了L2正则化约束，其中正则化参数λ取值为0.01，并通过10折交叉验证方法对正则化强度进行了验证。</w:t>
      </w:r>
    </w:p>
    <w:p w14:paraId="4FF9E0E1">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 xml:space="preserve">3.1.2 </w:t>
      </w:r>
      <w:r>
        <w:rPr>
          <w:rFonts w:ascii="黑体" w:hAnsi="黑体" w:eastAsia="黑体"/>
          <w:sz w:val="21"/>
          <w:szCs w:val="21"/>
        </w:rPr>
        <w:t xml:space="preserve">模型诊断补充  </w:t>
      </w:r>
    </w:p>
    <w:p w14:paraId="4034ECB5">
      <w:pPr>
        <w:spacing w:line="240" w:lineRule="auto"/>
        <w:ind w:firstLine="420" w:firstLineChars="0"/>
        <w:rPr>
          <w:rFonts w:hint="eastAsia" w:ascii="宋体" w:hAnsi="宋体" w:eastAsia="宋体"/>
          <w:sz w:val="21"/>
          <w:szCs w:val="21"/>
        </w:rPr>
      </w:pPr>
      <w:r>
        <w:rPr>
          <w:rFonts w:hint="eastAsia" w:ascii="宋体" w:hAnsi="宋体" w:eastAsia="宋体"/>
          <w:sz w:val="21"/>
          <w:szCs w:val="21"/>
        </w:rPr>
        <w:t>研究增加了模型验证环节，采用Hosmer-Lemeshow检验对模型校准度进行评估，检验结果显示χ²值为7.32，p值为0.502。残差分析结果表明所有观测点的Cook距离均小于0.5，证实数据中不存在强影响点的干扰。</w:t>
      </w:r>
    </w:p>
    <w:p w14:paraId="4969B4D8">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 xml:space="preserve">3.1.3 </w:t>
      </w:r>
      <w:r>
        <w:rPr>
          <w:rFonts w:ascii="黑体" w:hAnsi="黑体" w:eastAsia="黑体"/>
          <w:sz w:val="21"/>
          <w:szCs w:val="21"/>
        </w:rPr>
        <w:t>空间布局参数化</w:t>
      </w:r>
    </w:p>
    <w:p w14:paraId="774B9B2E">
      <w:pPr>
        <w:spacing w:line="240" w:lineRule="auto"/>
        <w:ind w:firstLine="420" w:firstLineChars="0"/>
        <w:rPr>
          <w:rFonts w:hint="eastAsia" w:ascii="宋体" w:hAnsi="宋体" w:eastAsia="宋体"/>
          <w:sz w:val="21"/>
          <w:szCs w:val="21"/>
        </w:rPr>
      </w:pPr>
      <w:r>
        <w:rPr>
          <w:rFonts w:hint="eastAsia" w:ascii="宋体" w:hAnsi="宋体" w:eastAsia="宋体"/>
          <w:sz w:val="21"/>
          <w:szCs w:val="21"/>
        </w:rPr>
        <w:t>空间配置特征采用量化方法进行表征，其中集中式布局定义为声源方位角标准差σ小于10°，扩散式布局定义为方位角标准差σ大于45°。空间分离指数SSI通过矢量合成法计算得出，计算公式为20log(1+Δθ/θ₀)，其中Δθ表示目标声与掩蔽声的方位角差值，θ₀取30°作为临界角参数。</w:t>
      </w:r>
    </w:p>
    <w:p w14:paraId="3E0CEC7D">
      <w:pPr>
        <w:spacing w:line="240" w:lineRule="auto"/>
        <w:ind w:firstLine="420" w:firstLineChars="200"/>
        <w:rPr>
          <w:rFonts w:ascii="黑体" w:hAnsi="黑体" w:eastAsia="黑体"/>
          <w:sz w:val="21"/>
          <w:szCs w:val="21"/>
        </w:rPr>
      </w:pPr>
      <w:r>
        <w:rPr>
          <w:rFonts w:hint="eastAsia" w:ascii="黑体" w:hAnsi="黑体" w:eastAsia="黑体"/>
          <w:sz w:val="21"/>
          <w:szCs w:val="21"/>
        </w:rPr>
        <w:t xml:space="preserve">3.1.4 </w:t>
      </w:r>
      <w:r>
        <w:rPr>
          <w:rFonts w:ascii="黑体" w:hAnsi="黑体" w:eastAsia="黑体"/>
          <w:sz w:val="21"/>
          <w:szCs w:val="21"/>
        </w:rPr>
        <w:t xml:space="preserve">曲线动态分析 </w:t>
      </w:r>
    </w:p>
    <w:p w14:paraId="42181EA0">
      <w:pPr>
        <w:spacing w:line="240" w:lineRule="auto"/>
        <w:ind w:firstLine="420" w:firstLineChars="0"/>
        <w:rPr>
          <w:rFonts w:hint="eastAsia" w:ascii="宋体" w:hAnsi="宋体" w:eastAsia="宋体"/>
          <w:sz w:val="21"/>
          <w:szCs w:val="21"/>
        </w:rPr>
      </w:pPr>
      <w:r>
        <w:rPr>
          <w:rFonts w:hint="eastAsia" w:ascii="宋体" w:hAnsi="宋体" w:eastAsia="宋体"/>
          <w:sz w:val="21"/>
          <w:szCs w:val="21"/>
        </w:rPr>
        <w:t>研究增加了时频特征的动态描述，重点分析了190-210Hz临界频率区间内曲线上升沿的瞬时斜率dP/dF。实验数据显示，安静条件下的平均斜率为0.25%/Hz，标准差为0.03，而在信噪比为-10的条件下，斜率值下降至0.09%/Hz，标准差为0.05。通过混合效应模型分析发现，信噪比与斜率值之间存在显著正相关关系，回归系数β为0.17，t检验值为4.32，显著性水平p小于0.001。</w:t>
      </w:r>
    </w:p>
    <w:p w14:paraId="146C2DFA">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3.2 实验结果分析</w:t>
      </w:r>
    </w:p>
    <w:p w14:paraId="152C7F8D">
      <w:pPr>
        <w:spacing w:line="240" w:lineRule="auto"/>
        <w:rPr>
          <w:rFonts w:hint="eastAsia" w:ascii="宋体" w:hAnsi="宋体" w:eastAsia="宋体"/>
          <w:sz w:val="21"/>
          <w:szCs w:val="21"/>
        </w:rPr>
      </w:pPr>
      <w:r>
        <w:rPr>
          <w:rFonts w:hint="eastAsia"/>
        </w:rPr>
        <w:t xml:space="preserve">  </w:t>
      </w:r>
      <w:r>
        <w:rPr>
          <w:rFonts w:hint="eastAsia" w:ascii="宋体" w:hAnsi="宋体" w:eastAsia="宋体"/>
          <w:sz w:val="21"/>
          <w:szCs w:val="21"/>
        </w:rPr>
        <w:t>根据实验被试完成情况，将实验结果可视化得到以下结果（如图1所示）。</w:t>
      </w:r>
    </w:p>
    <w:p w14:paraId="672612BF">
      <w:pPr>
        <w:spacing w:line="240" w:lineRule="auto"/>
        <w:rPr>
          <w:rFonts w:hint="eastAsia"/>
        </w:rPr>
      </w:pPr>
      <w:r>
        <w:rPr>
          <w:rFonts w:hint="eastAsia"/>
        </w:rPr>
        <w:drawing>
          <wp:inline distT="0" distB="0" distL="0" distR="0">
            <wp:extent cx="5274310" cy="3263265"/>
            <wp:effectExtent l="0" t="0" r="2540" b="0"/>
            <wp:docPr id="6721950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95017" name="图片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74310" cy="3263265"/>
                    </a:xfrm>
                    <a:prstGeom prst="rect">
                      <a:avLst/>
                    </a:prstGeom>
                  </pic:spPr>
                </pic:pic>
              </a:graphicData>
            </a:graphic>
          </wp:inline>
        </w:drawing>
      </w:r>
    </w:p>
    <w:p w14:paraId="3AAA1103">
      <w:pPr>
        <w:spacing w:line="240" w:lineRule="auto"/>
        <w:jc w:val="center"/>
        <w:rPr>
          <w:rFonts w:hint="eastAsia"/>
        </w:rPr>
      </w:pPr>
      <w:r>
        <w:rPr>
          <w:rFonts w:hint="eastAsia"/>
        </w:rPr>
        <w:t>图1</w:t>
      </w:r>
    </w:p>
    <w:p w14:paraId="295B81F3">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3.2.1 实验数据解释</w:t>
      </w:r>
    </w:p>
    <w:p w14:paraId="3695034C">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在本实验中，本实验设置两个自变量，SNR（-10，-5，0，5，Quiet）和噪音来源方向</w:t>
      </w:r>
      <w:r>
        <w:rPr>
          <w:rFonts w:hint="eastAsia" w:ascii="宋体" w:hAnsi="宋体" w:eastAsia="宋体"/>
          <w:sz w:val="21"/>
          <w:szCs w:val="21"/>
          <w:lang w:eastAsia="zh-CN"/>
        </w:rPr>
        <w:t>（</w:t>
      </w:r>
      <w:r>
        <w:rPr>
          <w:rFonts w:hint="eastAsia" w:ascii="宋体" w:hAnsi="宋体" w:eastAsia="宋体"/>
          <w:sz w:val="21"/>
          <w:szCs w:val="21"/>
          <w:lang w:val="en-US" w:eastAsia="zh-CN"/>
        </w:rPr>
        <w:t>共位、分散），完成</w:t>
      </w:r>
      <w:r>
        <w:rPr>
          <w:rFonts w:hint="eastAsia" w:ascii="宋体" w:hAnsi="宋体" w:eastAsia="宋体"/>
          <w:sz w:val="21"/>
          <w:szCs w:val="21"/>
        </w:rPr>
        <w:t>测试后得到不同颜色的曲线来表示实验数据。横坐标表示初始频率，本实验中共计11个频率刺激，图中每条曲线都有11个数据点进行对应。纵坐标表示的是实验被试在某一频率刺激下判断该给声为一声的概率（用百分比进行表示）。因此，图1中的左右两图对应信噪比均有五条曲线，共计55个数据点进行参考分析。</w:t>
      </w:r>
    </w:p>
    <w:p w14:paraId="0DAC410C">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3.2.2 实验数据总结</w:t>
      </w:r>
    </w:p>
    <w:p w14:paraId="244812F2">
      <w:pPr>
        <w:spacing w:line="240" w:lineRule="auto"/>
        <w:rPr>
          <w:rFonts w:hint="eastAsia" w:ascii="宋体" w:hAnsi="宋体" w:eastAsia="宋体"/>
          <w:sz w:val="21"/>
          <w:szCs w:val="21"/>
        </w:rPr>
      </w:pPr>
      <w:r>
        <w:rPr>
          <w:rFonts w:hint="eastAsia"/>
        </w:rPr>
        <w:t xml:space="preserve">  </w:t>
      </w:r>
      <w:r>
        <w:rPr>
          <w:rFonts w:hint="eastAsia" w:ascii="宋体" w:hAnsi="宋体" w:eastAsia="宋体"/>
          <w:sz w:val="21"/>
          <w:szCs w:val="21"/>
        </w:rPr>
        <w:t xml:space="preserve"> 以横轴为参考，当目标音频的给声在0°方向时，所有曲线在190Hz至210Hz的区间内，选择一声的比例直线上升，出现突变。但当目标音频的给声在60°，-60°，180°方向时，所有曲线在190Hz至220Hz的区间内，选择一声的比例直线上升。同时，以纵轴为参考，在左右两图的纵轴为</w:t>
      </w:r>
      <w:r>
        <w:rPr>
          <w:rFonts w:ascii="宋体" w:hAnsi="宋体" w:eastAsia="宋体"/>
          <w:sz w:val="21"/>
          <w:szCs w:val="21"/>
        </w:rPr>
        <w:t>50</w:t>
      </w:r>
      <w:r>
        <w:rPr>
          <w:rFonts w:hint="eastAsia" w:ascii="宋体" w:hAnsi="宋体" w:eastAsia="宋体"/>
          <w:sz w:val="21"/>
          <w:szCs w:val="21"/>
        </w:rPr>
        <w:t>%处画一条直线，将直线与图像交点投射到横坐标上，可以发现，左右两图该直线与所有曲线的交点均集中落入200Hz至210Hz中(右图中信噪比为-10的曲线除外)，且都在205Hz左右浮动。右图与左图数据在此的区别为，右图的交点分布更为集中，左图交点分布较为分散。</w:t>
      </w:r>
    </w:p>
    <w:p w14:paraId="7C0BA07B">
      <w:pPr>
        <w:spacing w:line="240" w:lineRule="auto"/>
        <w:ind w:firstLine="420"/>
        <w:rPr>
          <w:rFonts w:hint="eastAsia" w:ascii="宋体" w:hAnsi="宋体" w:eastAsia="宋体"/>
          <w:sz w:val="21"/>
          <w:szCs w:val="21"/>
        </w:rPr>
      </w:pPr>
      <w:r>
        <w:rPr>
          <w:rFonts w:hint="eastAsia" w:ascii="宋体" w:hAnsi="宋体" w:eastAsia="宋体"/>
          <w:sz w:val="21"/>
          <w:szCs w:val="21"/>
        </w:rPr>
        <w:t>将左右图中同一</w:t>
      </w:r>
      <w:r>
        <w:rPr>
          <w:rFonts w:hint="eastAsia" w:ascii="宋体" w:hAnsi="宋体" w:eastAsia="宋体"/>
          <w:sz w:val="21"/>
          <w:szCs w:val="21"/>
          <w:lang w:val="en-US" w:eastAsia="zh-CN"/>
        </w:rPr>
        <w:t>SNR</w:t>
      </w:r>
      <w:r>
        <w:rPr>
          <w:rFonts w:hint="eastAsia" w:ascii="宋体" w:hAnsi="宋体" w:eastAsia="宋体"/>
          <w:sz w:val="21"/>
          <w:szCs w:val="21"/>
        </w:rPr>
        <w:t>条件下的两条曲线进行对比，当</w:t>
      </w:r>
      <w:r>
        <w:rPr>
          <w:rFonts w:hint="eastAsia" w:ascii="宋体" w:hAnsi="宋体" w:eastAsia="宋体"/>
          <w:sz w:val="21"/>
          <w:szCs w:val="21"/>
          <w:lang w:val="en-US" w:eastAsia="zh-CN"/>
        </w:rPr>
        <w:t>SNR</w:t>
      </w:r>
      <w:r>
        <w:rPr>
          <w:rFonts w:hint="eastAsia" w:ascii="宋体" w:hAnsi="宋体" w:eastAsia="宋体"/>
          <w:sz w:val="21"/>
          <w:szCs w:val="21"/>
        </w:rPr>
        <w:t>为-10时，右图曲线的百分比变化相较于左图，变化幅度明显减小。</w:t>
      </w:r>
    </w:p>
    <w:p w14:paraId="0D4B4D00">
      <w:pPr>
        <w:spacing w:line="240" w:lineRule="auto"/>
        <w:ind w:firstLine="42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4.研究结果及讨论</w:t>
      </w:r>
    </w:p>
    <w:p w14:paraId="65189554">
      <w:pPr>
        <w:spacing w:line="240" w:lineRule="auto"/>
        <w:ind w:firstLine="420" w:firstLineChars="200"/>
        <w:rPr>
          <w:rFonts w:hint="eastAsia" w:ascii="黑体" w:hAnsi="黑体" w:eastAsia="黑体"/>
          <w:sz w:val="21"/>
          <w:szCs w:val="21"/>
        </w:rPr>
      </w:pPr>
      <w:r>
        <w:rPr>
          <w:rFonts w:hint="eastAsia" w:ascii="黑体" w:hAnsi="黑体" w:eastAsia="黑体"/>
          <w:sz w:val="21"/>
          <w:szCs w:val="21"/>
          <w:lang w:val="en-US" w:eastAsia="zh-CN"/>
        </w:rPr>
        <w:t>4.1</w:t>
      </w:r>
      <w:r>
        <w:rPr>
          <w:rFonts w:hint="eastAsia" w:ascii="黑体" w:hAnsi="黑体" w:eastAsia="黑体"/>
          <w:sz w:val="21"/>
          <w:szCs w:val="21"/>
        </w:rPr>
        <w:t xml:space="preserve"> 实验结论</w:t>
      </w:r>
    </w:p>
    <w:p w14:paraId="7B25A116">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根据实验数据，对比不同条件下的被试区分ā和á的能力，可以得出以下结论。</w:t>
      </w:r>
    </w:p>
    <w:p w14:paraId="6DA1C692">
      <w:pPr>
        <w:numPr>
          <w:ilvl w:val="0"/>
          <w:numId w:val="2"/>
        </w:numPr>
        <w:spacing w:line="240" w:lineRule="auto"/>
        <w:ind w:firstLine="420" w:firstLineChars="200"/>
        <w:rPr>
          <w:rFonts w:hint="eastAsia" w:ascii="宋体" w:hAnsi="宋体" w:eastAsia="宋体"/>
          <w:sz w:val="21"/>
          <w:szCs w:val="21"/>
          <w:lang w:val="en-GB"/>
        </w:rPr>
      </w:pPr>
      <w:r>
        <w:rPr>
          <w:rFonts w:hint="eastAsia" w:ascii="宋体" w:hAnsi="宋体" w:eastAsia="宋体"/>
          <w:sz w:val="21"/>
          <w:szCs w:val="21"/>
        </w:rPr>
        <w:t>不论是在集中还是分散的空间布局，被试在安静条件下区分ā和á的能力</w:t>
      </w:r>
      <w:r>
        <w:rPr>
          <w:rFonts w:hint="eastAsia" w:ascii="宋体" w:hAnsi="宋体" w:eastAsia="宋体"/>
          <w:sz w:val="21"/>
          <w:szCs w:val="21"/>
          <w:lang w:val="en-US" w:eastAsia="zh-CN"/>
        </w:rPr>
        <w:t>优于</w:t>
      </w:r>
      <w:r>
        <w:rPr>
          <w:rFonts w:hint="eastAsia" w:ascii="宋体" w:hAnsi="宋体" w:eastAsia="宋体"/>
          <w:sz w:val="21"/>
          <w:szCs w:val="21"/>
        </w:rPr>
        <w:t>SNR为5及0条件下的区分能力</w:t>
      </w:r>
      <w:r>
        <w:rPr>
          <w:rFonts w:hint="eastAsia" w:ascii="宋体" w:hAnsi="宋体" w:eastAsia="宋体"/>
          <w:sz w:val="21"/>
          <w:szCs w:val="21"/>
          <w:lang w:val="en-US" w:eastAsia="zh-CN"/>
        </w:rPr>
        <w:t>优于</w:t>
      </w:r>
      <w:r>
        <w:rPr>
          <w:rFonts w:hint="eastAsia" w:ascii="宋体" w:hAnsi="宋体" w:eastAsia="宋体"/>
          <w:sz w:val="21"/>
          <w:szCs w:val="21"/>
        </w:rPr>
        <w:t>SNR为-5条件下的区分能力</w:t>
      </w:r>
      <w:r>
        <w:rPr>
          <w:rFonts w:hint="eastAsia" w:ascii="宋体" w:hAnsi="宋体" w:eastAsia="宋体"/>
          <w:sz w:val="21"/>
          <w:szCs w:val="21"/>
          <w:lang w:val="en-US" w:eastAsia="zh-CN"/>
        </w:rPr>
        <w:t>优于</w:t>
      </w:r>
      <w:r>
        <w:rPr>
          <w:rFonts w:hint="eastAsia" w:ascii="宋体" w:hAnsi="宋体" w:eastAsia="宋体"/>
          <w:sz w:val="21"/>
          <w:szCs w:val="21"/>
        </w:rPr>
        <w:t>SNR为-10条件下的区分能力。</w:t>
      </w:r>
      <w:r>
        <w:rPr>
          <w:rFonts w:ascii="宋体" w:hAnsi="宋体" w:eastAsia="宋体"/>
          <w:sz w:val="21"/>
          <w:szCs w:val="21"/>
          <w:lang w:val="en-GB"/>
        </w:rPr>
        <w:t>Quiet&gt;(SNR5=SNR0)&gt;SNR-5&gt;SNR-10 both at collocated and diffused spatial configuration.</w:t>
      </w:r>
    </w:p>
    <w:p w14:paraId="724BB95C">
      <w:pPr>
        <w:numPr>
          <w:ilvl w:val="0"/>
          <w:numId w:val="2"/>
        </w:numPr>
        <w:spacing w:line="240" w:lineRule="auto"/>
        <w:ind w:left="0" w:leftChars="0" w:firstLine="420" w:firstLineChars="200"/>
        <w:rPr>
          <w:rFonts w:hint="eastAsia" w:ascii="宋体" w:hAnsi="宋体" w:eastAsia="宋体"/>
          <w:sz w:val="21"/>
          <w:szCs w:val="21"/>
        </w:rPr>
      </w:pPr>
      <w:r>
        <w:rPr>
          <w:rFonts w:hint="eastAsia" w:ascii="宋体" w:hAnsi="宋体" w:eastAsia="宋体"/>
          <w:sz w:val="21"/>
          <w:szCs w:val="21"/>
          <w:lang w:val="en-GB"/>
        </w:rPr>
        <w:t>通过对比不同SNR噪音条件的曲线，以及安静条件下的结果，可以得出，在安静条件下的</w:t>
      </w:r>
      <w:r>
        <w:rPr>
          <w:rFonts w:hint="eastAsia" w:ascii="宋体" w:hAnsi="宋体" w:eastAsia="宋体"/>
          <w:sz w:val="21"/>
          <w:szCs w:val="21"/>
        </w:rPr>
        <w:t>曲线与噪音条件下的曲线差异很大，证明噪音对语音识别影响很大。</w:t>
      </w:r>
    </w:p>
    <w:p w14:paraId="5E12F508">
      <w:pPr>
        <w:numPr>
          <w:ilvl w:val="0"/>
          <w:numId w:val="2"/>
        </w:numPr>
        <w:spacing w:line="240" w:lineRule="auto"/>
        <w:ind w:left="0" w:leftChars="0" w:firstLine="420" w:firstLineChars="200"/>
        <w:rPr>
          <w:rFonts w:hint="eastAsia" w:ascii="宋体" w:hAnsi="宋体" w:eastAsia="宋体"/>
          <w:sz w:val="21"/>
          <w:szCs w:val="21"/>
        </w:rPr>
      </w:pPr>
      <w:r>
        <w:rPr>
          <w:rFonts w:hint="eastAsia" w:ascii="宋体" w:hAnsi="宋体" w:eastAsia="宋体"/>
          <w:sz w:val="21"/>
          <w:szCs w:val="21"/>
        </w:rPr>
        <w:t>当SNR为-10时，左右两图的曲线变化都相较于其他曲线变化更为平缓，证明在该条件下，被试对于ā和á的区分能力并没有其他条件下的显著。在此可用</w:t>
      </w:r>
      <w:r>
        <w:rPr>
          <w:rFonts w:ascii="宋体" w:hAnsi="宋体" w:eastAsia="宋体"/>
          <w:sz w:val="21"/>
          <w:szCs w:val="21"/>
        </w:rPr>
        <w:t>心理声学机制</w:t>
      </w:r>
      <w:r>
        <w:rPr>
          <w:rFonts w:hint="eastAsia" w:ascii="宋体" w:hAnsi="宋体" w:eastAsia="宋体"/>
          <w:sz w:val="21"/>
          <w:szCs w:val="21"/>
        </w:rPr>
        <w:t>里的</w:t>
      </w:r>
      <w:r>
        <w:rPr>
          <w:rFonts w:ascii="宋体" w:hAnsi="宋体" w:eastAsia="宋体"/>
          <w:sz w:val="21"/>
          <w:szCs w:val="21"/>
        </w:rPr>
        <w:t>关联听觉感知理论</w:t>
      </w:r>
      <w:r>
        <w:rPr>
          <w:rFonts w:hint="eastAsia" w:ascii="宋体" w:hAnsi="宋体" w:eastAsia="宋体"/>
          <w:sz w:val="21"/>
          <w:szCs w:val="21"/>
        </w:rPr>
        <w:t>进行</w:t>
      </w:r>
      <w:r>
        <w:rPr>
          <w:rFonts w:ascii="宋体" w:hAnsi="宋体" w:eastAsia="宋体"/>
          <w:sz w:val="21"/>
          <w:szCs w:val="21"/>
        </w:rPr>
        <w:t>阐释：SNR=-10时斜率降低符合听觉掩蔽的向上扩展效应（upward spread of masking），噪声能量在临界频带内产生的兴奋模式干扰了声调轮廓的时变特征提取</w:t>
      </w:r>
      <w:r>
        <w:rPr>
          <w:rFonts w:hint="eastAsia" w:ascii="宋体" w:hAnsi="宋体" w:eastAsia="宋体"/>
          <w:sz w:val="21"/>
          <w:szCs w:val="21"/>
          <w:vertAlign w:val="superscript"/>
          <w:lang w:val="en-US" w:eastAsia="zh-CN"/>
        </w:rPr>
        <w:t>[18]</w:t>
      </w:r>
      <w:r>
        <w:rPr>
          <w:rFonts w:ascii="宋体" w:hAnsi="宋体" w:eastAsia="宋体"/>
          <w:sz w:val="21"/>
          <w:szCs w:val="21"/>
        </w:rPr>
        <w:t>（Moore, 2012）</w:t>
      </w:r>
      <w:r>
        <w:rPr>
          <w:rFonts w:hint="eastAsia" w:ascii="宋体" w:hAnsi="宋体" w:eastAsia="宋体"/>
          <w:sz w:val="21"/>
          <w:szCs w:val="21"/>
        </w:rPr>
        <w:t>。</w:t>
      </w:r>
    </w:p>
    <w:p w14:paraId="184F226E">
      <w:pPr>
        <w:numPr>
          <w:ilvl w:val="0"/>
          <w:numId w:val="2"/>
        </w:numPr>
        <w:spacing w:line="240" w:lineRule="auto"/>
        <w:ind w:left="0" w:leftChars="0" w:firstLine="420" w:firstLineChars="200"/>
        <w:rPr>
          <w:rFonts w:hint="eastAsia" w:ascii="宋体" w:hAnsi="宋体" w:eastAsia="宋体"/>
          <w:sz w:val="21"/>
          <w:szCs w:val="21"/>
        </w:rPr>
      </w:pPr>
      <w:r>
        <w:rPr>
          <w:rFonts w:hint="eastAsia" w:ascii="宋体" w:hAnsi="宋体" w:eastAsia="宋体"/>
          <w:sz w:val="21"/>
          <w:szCs w:val="21"/>
        </w:rPr>
        <w:t>对比左右两图，不论是在</w:t>
      </w:r>
      <w:r>
        <w:rPr>
          <w:rFonts w:hint="eastAsia" w:ascii="宋体" w:hAnsi="宋体" w:eastAsia="宋体"/>
          <w:sz w:val="21"/>
          <w:szCs w:val="21"/>
          <w:lang w:val="en-US" w:eastAsia="zh-CN"/>
        </w:rPr>
        <w:t>共位</w:t>
      </w:r>
      <w:r>
        <w:rPr>
          <w:rFonts w:hint="eastAsia" w:ascii="宋体" w:hAnsi="宋体" w:eastAsia="宋体"/>
          <w:sz w:val="21"/>
          <w:szCs w:val="21"/>
        </w:rPr>
        <w:t>空间分布的条件下，还是分散空间分布的条件下，辨别ā和á的曲线差异并不大，即在本实验的测试中，未能明显观察到空间感知对于语音识别的影响。</w:t>
      </w:r>
    </w:p>
    <w:p w14:paraId="5B96D065">
      <w:pPr>
        <w:spacing w:line="240" w:lineRule="auto"/>
        <w:ind w:firstLine="420" w:firstLineChars="200"/>
        <w:rPr>
          <w:rFonts w:hint="default" w:ascii="黑体" w:hAnsi="黑体" w:eastAsia="黑体"/>
          <w:sz w:val="21"/>
          <w:szCs w:val="21"/>
          <w:lang w:val="en-US" w:eastAsia="zh-CN"/>
        </w:rPr>
      </w:pPr>
      <w:r>
        <w:rPr>
          <w:rFonts w:hint="eastAsia" w:ascii="黑体" w:hAnsi="黑体" w:eastAsia="黑体"/>
          <w:sz w:val="21"/>
          <w:szCs w:val="21"/>
          <w:lang w:val="en-US" w:eastAsia="zh-CN"/>
        </w:rPr>
        <w:t>4.2 实验讨论</w:t>
      </w:r>
    </w:p>
    <w:p w14:paraId="7E7214C1">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4.</w:t>
      </w:r>
      <w:r>
        <w:rPr>
          <w:rFonts w:hint="eastAsia" w:ascii="黑体" w:hAnsi="黑体" w:eastAsia="黑体"/>
          <w:sz w:val="21"/>
          <w:szCs w:val="21"/>
          <w:lang w:val="en-US" w:eastAsia="zh-CN"/>
        </w:rPr>
        <w:t>2.1</w:t>
      </w:r>
      <w:r>
        <w:rPr>
          <w:rFonts w:hint="eastAsia" w:ascii="黑体" w:hAnsi="黑体" w:eastAsia="黑体"/>
          <w:sz w:val="21"/>
          <w:szCs w:val="21"/>
        </w:rPr>
        <w:t xml:space="preserve"> 噪音对汉语声调范畴感知的显著影响</w:t>
      </w:r>
    </w:p>
    <w:p w14:paraId="429A59F4">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实验结果显示，安静条件下的声调感知曲线的斜率明显大于引入了噪音后的声调感知曲线的斜率。这表明，在真实声场条件下，</w:t>
      </w:r>
      <w:r>
        <w:rPr>
          <w:rFonts w:hint="eastAsia" w:ascii="宋体" w:hAnsi="宋体" w:eastAsia="宋体"/>
          <w:sz w:val="21"/>
          <w:szCs w:val="21"/>
          <w:lang w:val="en-US" w:eastAsia="zh-CN"/>
        </w:rPr>
        <w:t>无论声源空间配置，</w:t>
      </w:r>
      <w:r>
        <w:rPr>
          <w:rFonts w:ascii="宋体" w:hAnsi="宋体" w:eastAsia="宋体"/>
          <w:sz w:val="21"/>
          <w:szCs w:val="21"/>
        </w:rPr>
        <w:t>噪音条件均显著降低了被试对</w:t>
      </w:r>
      <w:r>
        <w:rPr>
          <w:rFonts w:hint="eastAsia" w:ascii="宋体" w:hAnsi="宋体" w:eastAsia="宋体"/>
          <w:sz w:val="21"/>
          <w:szCs w:val="21"/>
        </w:rPr>
        <w:t>ā和á</w:t>
      </w:r>
      <w:r>
        <w:rPr>
          <w:rFonts w:ascii="宋体" w:hAnsi="宋体" w:eastAsia="宋体"/>
          <w:sz w:val="21"/>
          <w:szCs w:val="21"/>
        </w:rPr>
        <w:t>的辨别能力</w:t>
      </w:r>
      <w:r>
        <w:rPr>
          <w:rFonts w:hint="eastAsia" w:ascii="宋体" w:hAnsi="宋体" w:eastAsia="宋体"/>
          <w:sz w:val="21"/>
          <w:szCs w:val="21"/>
        </w:rPr>
        <w:t>。而安静条件下声调感知的正确率始终高于任何噪音条件，说明汉语声调的范畴感知对背景噪音极为敏感，尤其在低SNR条件下（如SNR=-10时）。</w:t>
      </w:r>
    </w:p>
    <w:p w14:paraId="64D1ACCF">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4.</w:t>
      </w:r>
      <w:r>
        <w:rPr>
          <w:rFonts w:hint="eastAsia" w:ascii="黑体" w:hAnsi="黑体" w:eastAsia="黑体"/>
          <w:sz w:val="21"/>
          <w:szCs w:val="21"/>
          <w:lang w:val="en-US" w:eastAsia="zh-CN"/>
        </w:rPr>
        <w:t>2</w:t>
      </w:r>
      <w:r>
        <w:rPr>
          <w:rFonts w:hint="eastAsia" w:ascii="黑体" w:hAnsi="黑体" w:eastAsia="黑体"/>
          <w:sz w:val="21"/>
          <w:szCs w:val="21"/>
        </w:rPr>
        <w:t>.</w:t>
      </w:r>
      <w:r>
        <w:rPr>
          <w:rFonts w:hint="eastAsia" w:ascii="黑体" w:hAnsi="黑体" w:eastAsia="黑体"/>
          <w:sz w:val="21"/>
          <w:szCs w:val="21"/>
          <w:lang w:val="en-US" w:eastAsia="zh-CN"/>
        </w:rPr>
        <w:t>2</w:t>
      </w:r>
      <w:r>
        <w:rPr>
          <w:rFonts w:hint="eastAsia" w:ascii="黑体" w:hAnsi="黑体" w:eastAsia="黑体"/>
          <w:sz w:val="21"/>
          <w:szCs w:val="21"/>
        </w:rPr>
        <w:t>空间方位对汉语声调感知不显著</w:t>
      </w:r>
    </w:p>
    <w:p w14:paraId="1D58D03F">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由实验结果数据可视化显示，</w:t>
      </w:r>
      <w:r>
        <w:rPr>
          <w:rFonts w:hint="eastAsia" w:ascii="宋体" w:hAnsi="宋体" w:eastAsia="宋体"/>
          <w:sz w:val="21"/>
          <w:szCs w:val="21"/>
          <w:lang w:val="en-US" w:eastAsia="zh-CN"/>
        </w:rPr>
        <w:t>不同声源空间配置条件下，</w:t>
      </w:r>
      <w:r>
        <w:rPr>
          <w:rFonts w:hint="eastAsia" w:ascii="宋体" w:hAnsi="宋体" w:eastAsia="宋体"/>
          <w:sz w:val="21"/>
          <w:szCs w:val="21"/>
        </w:rPr>
        <w:t>声调感知曲线相似，无显著差异。这一结果与此先多方位噪音遮蔽作用更小的假设相悖。针对此现象，本研究认为实验中定量部分存在一定缺陷。本实验中单噪声源组与多噪声源组的音量一致，但由于选取了以餐厅为环境的多人言语噪音，使得多噪声源组在使用三个扬声器播放时，被试所听到的人声数比单噪声源组要多。Yost等研究指出，当被试听到的多人言语噪音中存在六人及以上的人声数，</w:t>
      </w:r>
      <w:r>
        <w:rPr>
          <w:rFonts w:ascii="宋体" w:hAnsi="宋体" w:eastAsia="宋体"/>
          <w:sz w:val="21"/>
          <w:szCs w:val="21"/>
        </w:rPr>
        <w:t>空间分离</w:t>
      </w:r>
      <w:r>
        <w:rPr>
          <w:rFonts w:hint="eastAsia" w:ascii="宋体" w:hAnsi="宋体" w:eastAsia="宋体"/>
          <w:sz w:val="21"/>
          <w:szCs w:val="21"/>
        </w:rPr>
        <w:t>使噪音的</w:t>
      </w:r>
      <w:r>
        <w:rPr>
          <w:rFonts w:ascii="宋体" w:hAnsi="宋体" w:eastAsia="宋体"/>
          <w:sz w:val="21"/>
          <w:szCs w:val="21"/>
        </w:rPr>
        <w:t>掩蔽</w:t>
      </w:r>
      <w:r>
        <w:rPr>
          <w:rFonts w:hint="eastAsia" w:ascii="宋体" w:hAnsi="宋体" w:eastAsia="宋体"/>
          <w:sz w:val="21"/>
          <w:szCs w:val="21"/>
        </w:rPr>
        <w:t>作用减弱的影响</w:t>
      </w:r>
      <w:r>
        <w:rPr>
          <w:rFonts w:ascii="宋体" w:hAnsi="宋体" w:eastAsia="宋体"/>
          <w:sz w:val="21"/>
          <w:szCs w:val="21"/>
        </w:rPr>
        <w:t>显著减弱甚至消失</w:t>
      </w:r>
      <w:r>
        <w:rPr>
          <w:rFonts w:hint="eastAsia" w:ascii="宋体" w:hAnsi="宋体" w:eastAsia="宋体"/>
          <w:sz w:val="21"/>
          <w:szCs w:val="21"/>
        </w:rPr>
        <w:t>。这一缺陷也将在后续研究中持续改进</w:t>
      </w:r>
      <w:r>
        <w:rPr>
          <w:rFonts w:hint="eastAsia" w:ascii="宋体" w:hAnsi="宋体" w:eastAsia="宋体"/>
          <w:sz w:val="21"/>
          <w:szCs w:val="21"/>
          <w:vertAlign w:val="superscript"/>
        </w:rPr>
        <w:fldChar w:fldCharType="begin"/>
      </w:r>
      <w:r>
        <w:rPr>
          <w:rFonts w:hint="eastAsia" w:ascii="宋体" w:hAnsi="宋体" w:eastAsia="宋体"/>
          <w:sz w:val="21"/>
          <w:szCs w:val="21"/>
          <w:vertAlign w:val="superscript"/>
        </w:rPr>
        <w:instrText xml:space="preserve"> ADDIN ZOTERO_ITEM CSL_CITATION {"citationID":"vhRVVjX6","properties":{"formattedCitation":"[13]","plainCitation":"[13]","noteIndex":0},"citationItems":[{"id":797,"uris":["http://zotero.org/users/14768194/items/L947EP97"],"itemData":{"id":797,"type":"article-journal","abstract":"Spatial Release from Masking (SRM) was measured for identification of a female target word spoken in the presence of male masker words. Target words from a single loudspeaker located at midline were presented when two, four, or six masker words were presented either from the same source as the target or from spatially separated masker sources. All masker words were presented from loudspeakers located symmetrically around the centered target source in the front azimuth hemifield. Three masking conditions were employed: speech-in-speech masking (involving both informational and energetic masking), speech-in-noise masking (involving energetic masking), and filtered speech-in-filtered speech masking (involving informational masking). Psychophysical results were summarized as three-point psychometric functions relating proportion of correct word identification to target-to-masker ratio (in decibels) for both the co-located and spatially separated target and masker sources cases. SRM was then calculated by comparing the slopes and intercepts of these functions. SRM decreased as the number of symmetrically placed masker sources increased from two to six. This decrease was independent of the type of masking, with almost no SRM measured for six masker sources. These results suggest that when SRM is dependent primarily on binaural processing, SRM is effectively limited to fewer than six sound sources.","container-title":"The Journal of the Acoustical Society of America","DOI":"10.1121/1.4978614","ISSN":"0001-4966","issue":"3","journalAbbreviation":"J Acoust Soc Am","note":"PMID: 28372135\nPMCID: PMC5848840","page":"2093-2106","source":"PubMed Central","title":"Spatial release from masking based on binaural processing for up to six maskers","volume":"141","author":[{"family":"Yost","given":"William A."}],"issued":{"date-parts":[["2017",3]]}}}],"schema":"https://github.com/citation-style-language/schema/raw/master/csl-citation.json"} </w:instrText>
      </w:r>
      <w:r>
        <w:rPr>
          <w:rFonts w:hint="eastAsia" w:ascii="宋体" w:hAnsi="宋体" w:eastAsia="宋体"/>
          <w:sz w:val="21"/>
          <w:szCs w:val="21"/>
          <w:vertAlign w:val="superscript"/>
        </w:rPr>
        <w:fldChar w:fldCharType="separate"/>
      </w:r>
      <w:r>
        <w:rPr>
          <w:rFonts w:hint="eastAsia" w:ascii="宋体" w:hAnsi="宋体" w:eastAsia="宋体"/>
          <w:sz w:val="21"/>
          <w:vertAlign w:val="superscript"/>
        </w:rPr>
        <w:t>[1</w:t>
      </w:r>
      <w:r>
        <w:rPr>
          <w:rFonts w:hint="eastAsia" w:ascii="宋体" w:hAnsi="宋体" w:eastAsia="宋体"/>
          <w:sz w:val="21"/>
          <w:vertAlign w:val="superscript"/>
          <w:lang w:val="en-US" w:eastAsia="zh-CN"/>
        </w:rPr>
        <w:t>9</w:t>
      </w:r>
      <w:r>
        <w:rPr>
          <w:rFonts w:hint="eastAsia" w:ascii="宋体" w:hAnsi="宋体" w:eastAsia="宋体"/>
          <w:sz w:val="21"/>
          <w:vertAlign w:val="superscript"/>
        </w:rPr>
        <w:t>]</w:t>
      </w:r>
      <w:r>
        <w:rPr>
          <w:rFonts w:hint="eastAsia" w:ascii="宋体" w:hAnsi="宋体" w:eastAsia="宋体"/>
          <w:sz w:val="21"/>
          <w:szCs w:val="21"/>
          <w:vertAlign w:val="superscript"/>
        </w:rPr>
        <w:fldChar w:fldCharType="end"/>
      </w:r>
      <w:r>
        <w:rPr>
          <w:rFonts w:hint="eastAsia" w:ascii="宋体" w:hAnsi="宋体" w:eastAsia="宋体"/>
          <w:sz w:val="21"/>
          <w:szCs w:val="21"/>
        </w:rPr>
        <w:t>。</w:t>
      </w:r>
    </w:p>
    <w:p w14:paraId="5BCC3A08">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4.</w:t>
      </w:r>
      <w:r>
        <w:rPr>
          <w:rFonts w:hint="eastAsia" w:ascii="黑体" w:hAnsi="黑体" w:eastAsia="黑体"/>
          <w:sz w:val="21"/>
          <w:szCs w:val="21"/>
          <w:lang w:val="en-US" w:eastAsia="zh-CN"/>
        </w:rPr>
        <w:t>2.3</w:t>
      </w:r>
      <w:r>
        <w:rPr>
          <w:rFonts w:hint="eastAsia" w:ascii="黑体" w:hAnsi="黑体" w:eastAsia="黑体"/>
          <w:sz w:val="21"/>
          <w:szCs w:val="21"/>
        </w:rPr>
        <w:t xml:space="preserve"> 不同SNR声调感知能力呈一致趋势</w:t>
      </w:r>
    </w:p>
    <w:p w14:paraId="0BC279BA">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本研究采用了-10，-5,0,5四组不同SNR的噪音条件，从而探究不同SNR条件下对汉语声调感知的影响。从实验数据结果来看，被试无论在单噪声组还是多噪声组环境下，对于不同SNR下辨认ā和á的能力基本相似，均呈现出以下趋势</w:t>
      </w:r>
      <w:r>
        <w:rPr>
          <w:rFonts w:hint="eastAsia" w:ascii="宋体" w:hAnsi="宋体" w:eastAsia="宋体"/>
          <w:sz w:val="21"/>
          <w:szCs w:val="21"/>
          <w:lang w:eastAsia="zh-CN"/>
        </w:rPr>
        <w:t>，</w:t>
      </w:r>
      <w:r>
        <w:rPr>
          <w:rFonts w:ascii="宋体" w:hAnsi="宋体" w:eastAsia="宋体"/>
          <w:sz w:val="21"/>
          <w:szCs w:val="21"/>
          <w:lang w:val="en-GB"/>
        </w:rPr>
        <w:t>SNR5=SNR0&gt;SNR-5&gt;SNR-10</w:t>
      </w:r>
      <w:r>
        <w:rPr>
          <w:rFonts w:hint="eastAsia" w:ascii="宋体" w:hAnsi="宋体" w:eastAsia="宋体"/>
          <w:sz w:val="21"/>
          <w:szCs w:val="21"/>
          <w:lang w:val="en-GB"/>
        </w:rPr>
        <w:t>。其中，SNR=-10时，曲线没有出现明显的突变，特别在多噪声组环境下，基本呈现平稳的态势。这说明在该SNR条件下，被试基本无法辨认汉语的声调。这其中存在噪音发挥强大的遮蔽作用的原因。除此之外，因为实验中所用的目标音频为200</w:t>
      </w:r>
      <w:r>
        <w:rPr>
          <w:rFonts w:hint="eastAsia" w:ascii="宋体" w:hAnsi="宋体" w:eastAsia="宋体"/>
          <w:sz w:val="21"/>
          <w:szCs w:val="21"/>
          <w:lang w:val="en-US" w:eastAsia="zh-CN"/>
        </w:rPr>
        <w:t>ms</w:t>
      </w:r>
      <w:r>
        <w:rPr>
          <w:rFonts w:hint="eastAsia" w:ascii="宋体" w:hAnsi="宋体" w:eastAsia="宋体"/>
          <w:sz w:val="21"/>
          <w:szCs w:val="21"/>
          <w:lang w:val="en-GB"/>
        </w:rPr>
        <w:t>的语音信号，自身较难被捕捉从而导致SNR为</w:t>
      </w:r>
      <w:r>
        <w:rPr>
          <w:rFonts w:hint="eastAsia" w:ascii="宋体" w:hAnsi="宋体" w:eastAsia="宋体"/>
          <w:sz w:val="21"/>
          <w:szCs w:val="21"/>
          <w:lang w:val="en-US" w:eastAsia="zh-CN"/>
        </w:rPr>
        <w:t>-</w:t>
      </w:r>
      <w:r>
        <w:rPr>
          <w:rFonts w:hint="eastAsia" w:ascii="宋体" w:hAnsi="宋体" w:eastAsia="宋体"/>
          <w:sz w:val="21"/>
          <w:szCs w:val="21"/>
          <w:lang w:val="en-GB"/>
        </w:rPr>
        <w:t>10时声调感知能力较差的可能性存在。SNR为5和0时两条曲线较相似，说明正常的普通话母语者在该两种环境下对汉语声调感知的能力较稳定。而SNR为-5时声调感知能力出现一个明显的下降。通过分析不同SNR环境，本研究可以对汉语声调范畴感知能力的下降趋势总结出一个较常规的规律。</w:t>
      </w:r>
    </w:p>
    <w:p w14:paraId="5DF923B9">
      <w:pPr>
        <w:spacing w:line="240" w:lineRule="auto"/>
        <w:ind w:firstLine="420" w:firstLineChars="200"/>
        <w:rPr>
          <w:rFonts w:hint="eastAsia" w:ascii="黑体" w:hAnsi="黑体" w:eastAsia="黑体"/>
          <w:sz w:val="21"/>
          <w:szCs w:val="21"/>
        </w:rPr>
      </w:pPr>
      <w:r>
        <w:rPr>
          <w:rFonts w:hint="eastAsia" w:ascii="黑体" w:hAnsi="黑体" w:eastAsia="黑体"/>
          <w:sz w:val="21"/>
          <w:szCs w:val="21"/>
        </w:rPr>
        <w:t>4.</w:t>
      </w:r>
      <w:r>
        <w:rPr>
          <w:rFonts w:hint="eastAsia" w:ascii="黑体" w:hAnsi="黑体" w:eastAsia="黑体"/>
          <w:sz w:val="21"/>
          <w:szCs w:val="21"/>
          <w:lang w:val="en-US" w:eastAsia="zh-CN"/>
        </w:rPr>
        <w:t>2.4</w:t>
      </w:r>
      <w:r>
        <w:rPr>
          <w:rFonts w:hint="eastAsia" w:ascii="黑体" w:hAnsi="黑体" w:eastAsia="黑体"/>
          <w:sz w:val="21"/>
          <w:szCs w:val="21"/>
        </w:rPr>
        <w:t xml:space="preserve"> 局限性与未来改进方向</w:t>
      </w:r>
    </w:p>
    <w:p w14:paraId="13C384E0">
      <w:pPr>
        <w:spacing w:line="240" w:lineRule="auto"/>
        <w:ind w:firstLine="420" w:firstLineChars="200"/>
        <w:rPr>
          <w:rFonts w:hint="eastAsia" w:ascii="宋体" w:hAnsi="宋体" w:eastAsia="宋体"/>
          <w:sz w:val="21"/>
          <w:szCs w:val="21"/>
        </w:rPr>
      </w:pPr>
      <w:r>
        <w:rPr>
          <w:rFonts w:hint="eastAsia" w:ascii="宋体" w:hAnsi="宋体" w:eastAsia="宋体"/>
          <w:sz w:val="21"/>
          <w:szCs w:val="21"/>
        </w:rPr>
        <w:t>本研究在使用多人言语噪音时忽略了噪音中说话者人数对于噪音遮蔽作用的影响，从而对研究空间分离噪音对汉语声调范畴感知能力影响造成了一定误差。同时，实验仅使用了多人言语噪音，缺乏与标准白噪音或其他多样噪音类型的对比。未来研究将考虑使用更多样化的，更可控的噪音类型。目前实验结果显示，在共位和分散两种空间配置条件下，被试的汉语声调识别表现未出现统计学显著差异，这一现象需要注意和思考。从声学环境设计的角度来看，可能存在的技术性限制影响了空间分离效果。当前实验采用的分散配置中，噪音源虽然进行了空间分离（如60°、180°、300°），但分离角度可能尚未达到能产生显著空间释放效应（SRM）的阈值。已有研究表明，当干扰声与目标声的分离角度小于45°时，空间听觉优势往往难以显现</w:t>
      </w:r>
      <w:r>
        <w:rPr>
          <w:rFonts w:hint="eastAsia" w:ascii="宋体" w:hAnsi="宋体" w:eastAsia="宋体"/>
          <w:sz w:val="21"/>
          <w:szCs w:val="21"/>
          <w:vertAlign w:val="superscript"/>
          <w:lang w:val="en-US" w:eastAsia="zh-CN"/>
        </w:rPr>
        <w:t>[20]</w:t>
      </w:r>
      <w:r>
        <w:rPr>
          <w:rFonts w:hint="eastAsia" w:ascii="宋体" w:hAnsi="宋体" w:eastAsia="宋体"/>
          <w:sz w:val="21"/>
          <w:szCs w:val="21"/>
        </w:rPr>
        <w:t>。此外，实验室声场模拟的混响时间控制可能不够精确，过强的混响会削弱双耳时间差（ITD）和强度差（ILD）线索，导致空间分离感知模糊化。</w:t>
      </w:r>
    </w:p>
    <w:p w14:paraId="76A180BA">
      <w:pPr>
        <w:spacing w:line="240" w:lineRule="auto"/>
        <w:ind w:firstLine="420" w:firstLineChars="200"/>
        <w:rPr>
          <w:rFonts w:ascii="宋体" w:hAnsi="宋体" w:eastAsia="宋体"/>
          <w:sz w:val="21"/>
          <w:szCs w:val="21"/>
        </w:rPr>
      </w:pPr>
      <w:r>
        <w:rPr>
          <w:rFonts w:hint="eastAsia" w:ascii="宋体" w:hAnsi="宋体" w:eastAsia="宋体"/>
          <w:sz w:val="21"/>
          <w:szCs w:val="21"/>
        </w:rPr>
        <w:t>同时，也有可能是目标音频的声学特性可能对结果产生了影响。当前使用的计算机合成语音虽然控制了基频参数，但可能缺乏自然语音的空间辐射特性。合成声源的点声源特性与真实人类发声的复杂指向性存在差异，这可能削弱了空间配置本应带来的感知优势。这一目标音频脱离了真实汉语口语语境，增加了辨认声调的难度。本研究也将在后续实验中考虑引入真实汉语口语场景，使用如汉语词汇等对象。本研究仅测试了20位青年被试，任务也仅为单一声调辨识。这存在一定的局限性。</w:t>
      </w:r>
      <w:r>
        <w:rPr>
          <w:rFonts w:ascii="宋体" w:hAnsi="宋体" w:eastAsia="宋体"/>
          <w:sz w:val="21"/>
          <w:szCs w:val="21"/>
        </w:rPr>
        <w:t>未来可引入更多任务类型（如</w:t>
      </w:r>
      <w:r>
        <w:rPr>
          <w:rFonts w:hint="eastAsia" w:ascii="宋体" w:hAnsi="宋体" w:eastAsia="宋体"/>
          <w:sz w:val="21"/>
          <w:szCs w:val="21"/>
        </w:rPr>
        <w:t>ǎ</w:t>
      </w:r>
      <w:r>
        <w:rPr>
          <w:rFonts w:hint="eastAsia" w:ascii="宋体" w:hAnsi="宋体" w:eastAsia="宋体"/>
          <w:sz w:val="21"/>
          <w:szCs w:val="21"/>
          <w:lang w:val="en-US" w:eastAsia="zh-CN"/>
        </w:rPr>
        <w:t>或</w:t>
      </w:r>
      <w:r>
        <w:rPr>
          <w:rFonts w:hint="eastAsia" w:ascii="宋体" w:hAnsi="宋体" w:eastAsia="宋体"/>
          <w:sz w:val="21"/>
          <w:szCs w:val="21"/>
        </w:rPr>
        <w:t>à</w:t>
      </w:r>
      <w:r>
        <w:rPr>
          <w:rFonts w:ascii="宋体" w:hAnsi="宋体" w:eastAsia="宋体"/>
          <w:sz w:val="21"/>
          <w:szCs w:val="21"/>
        </w:rPr>
        <w:t>判断）、更多样化人群与更长语音片段，以提升结果推广性。</w:t>
      </w:r>
      <w:bookmarkStart w:id="6" w:name="_GoBack"/>
      <w:bookmarkEnd w:id="6"/>
    </w:p>
    <w:p w14:paraId="1CCD06D9">
      <w:pPr>
        <w:spacing w:before="156" w:beforeLines="50" w:after="120" w:line="240" w:lineRule="auto"/>
        <w:ind w:firstLine="480" w:firstLineChars="200"/>
        <w:rPr>
          <w:rFonts w:ascii="黑体" w:hAnsi="黑体" w:eastAsia="黑体"/>
          <w:sz w:val="24"/>
        </w:rPr>
      </w:pPr>
      <w:r>
        <w:rPr>
          <w:rFonts w:hint="eastAsia" w:ascii="黑体" w:hAnsi="黑体" w:eastAsia="黑体"/>
          <w:sz w:val="24"/>
        </w:rPr>
        <w:t>5.参考文献</w:t>
      </w:r>
    </w:p>
    <w:p w14:paraId="6D3CC49C">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rPr>
        <w:tab/>
      </w:r>
      <w:r>
        <w:rPr>
          <w:rFonts w:hint="eastAsia" w:ascii="宋体" w:hAnsi="宋体" w:eastAsia="宋体"/>
          <w:sz w:val="21"/>
          <w:szCs w:val="21"/>
        </w:rPr>
        <w:t>Chao, Y. R., A grammar of spoken Chinese, University of California Press, 1968.</w:t>
      </w:r>
    </w:p>
    <w:p w14:paraId="17197D06">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[2]</w:t>
      </w:r>
      <w:r>
        <w:rPr>
          <w:rFonts w:hint="eastAsia" w:ascii="宋体" w:hAnsi="宋体" w:eastAsia="宋体"/>
          <w:sz w:val="21"/>
          <w:szCs w:val="21"/>
        </w:rPr>
        <w:tab/>
      </w:r>
      <w:r>
        <w:rPr>
          <w:rFonts w:hint="eastAsia" w:ascii="宋体" w:hAnsi="宋体" w:eastAsia="宋体"/>
          <w:sz w:val="21"/>
          <w:szCs w:val="21"/>
        </w:rPr>
        <w:t>Liberman, A. M., Harris, K. S., Hoffman, H. S., and Griffith, B. C., The discrimination of speech sounds within and across phoneme boundaries, J. Exp. Psychol., vol. 54, no. 5, pp. 358–368, 1957, doi: 10.1037/h0044417.</w:t>
      </w:r>
    </w:p>
    <w:p w14:paraId="0881971F">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[3]</w:t>
      </w:r>
      <w:r>
        <w:rPr>
          <w:rFonts w:hint="eastAsia" w:ascii="宋体" w:hAnsi="宋体" w:eastAsia="宋体"/>
          <w:sz w:val="21"/>
          <w:szCs w:val="21"/>
        </w:rPr>
        <w:tab/>
      </w:r>
      <w:r>
        <w:rPr>
          <w:rFonts w:hint="eastAsia" w:ascii="宋体" w:hAnsi="宋体" w:eastAsia="宋体"/>
          <w:sz w:val="21"/>
          <w:szCs w:val="21"/>
        </w:rPr>
        <w:t>Shen, G., and Froud, K., Categorical perception of lexical tones by English learners of Mandarin Chinese, J. Acoust. Soc. Am., vol. 140, no. 6, pp. 4396–4403, Dec. 2016, doi: 10.1121/1.4971765.</w:t>
      </w:r>
    </w:p>
    <w:p w14:paraId="1C9A0486">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[4]</w:t>
      </w:r>
      <w:r>
        <w:rPr>
          <w:rFonts w:hint="eastAsia" w:ascii="宋体" w:hAnsi="宋体" w:eastAsia="宋体"/>
          <w:sz w:val="21"/>
          <w:szCs w:val="21"/>
        </w:rPr>
        <w:tab/>
      </w:r>
      <w:r>
        <w:rPr>
          <w:rFonts w:hint="eastAsia" w:ascii="宋体" w:hAnsi="宋体" w:eastAsia="宋体"/>
          <w:sz w:val="21"/>
          <w:szCs w:val="21"/>
        </w:rPr>
        <w:t>Identification and discrimination of Mandarin Chinese tones by Mandarin Chinese vs. French listeners, J. Phon., vol. 32, no. 3, pp. 395–421, Jul. 2004, doi: 10.1016/S0095-4470(03)00016-0.</w:t>
      </w:r>
    </w:p>
    <w:p w14:paraId="1C5F7BB2">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[5]</w:t>
      </w:r>
      <w:r>
        <w:rPr>
          <w:rFonts w:hint="eastAsia" w:ascii="宋体" w:hAnsi="宋体" w:eastAsia="宋体"/>
          <w:sz w:val="21"/>
          <w:szCs w:val="21"/>
        </w:rPr>
        <w:tab/>
      </w:r>
      <w:r>
        <w:rPr>
          <w:rFonts w:hint="eastAsia" w:ascii="宋体" w:hAnsi="宋体" w:eastAsia="宋体"/>
          <w:sz w:val="21"/>
          <w:szCs w:val="21"/>
        </w:rPr>
        <w:t>Wang, Y., Lu, Z., Yang, X., and Liu, C., Measuring Mandarin Speech Recognition Thresholds Using the Method of Adaptive Tracking, J. Speech Lang. Hear. Res., vol. 62, no. 6, pp. 2009–2017, Jun. 2019, doi: 10.1044/2019_JSLHR-H-18-0162.</w:t>
      </w:r>
    </w:p>
    <w:p w14:paraId="2305CE41">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[6]</w:t>
      </w:r>
      <w:r>
        <w:rPr>
          <w:rFonts w:hint="eastAsia" w:ascii="宋体" w:hAnsi="宋体" w:eastAsia="宋体"/>
          <w:sz w:val="21"/>
          <w:szCs w:val="21"/>
        </w:rPr>
        <w:tab/>
      </w:r>
      <w:r>
        <w:rPr>
          <w:rFonts w:hint="eastAsia" w:ascii="宋体" w:hAnsi="宋体" w:eastAsia="宋体"/>
          <w:sz w:val="21"/>
          <w:szCs w:val="21"/>
        </w:rPr>
        <w:t>Dees, T. M., Bradlow, A. R., Dhar, S., and Wong, P. C. M., Effects of noise on lexical tone perception by native and non-native listeners, 2007.</w:t>
      </w:r>
    </w:p>
    <w:p w14:paraId="253D6C6B">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[7]</w:t>
      </w:r>
      <w:r>
        <w:rPr>
          <w:rFonts w:hint="eastAsia" w:ascii="宋体" w:hAnsi="宋体" w:eastAsia="宋体"/>
          <w:sz w:val="21"/>
          <w:szCs w:val="21"/>
        </w:rPr>
        <w:tab/>
      </w:r>
      <w:r>
        <w:rPr>
          <w:rFonts w:hint="eastAsia" w:ascii="宋体" w:hAnsi="宋体" w:eastAsia="宋体"/>
          <w:sz w:val="21"/>
          <w:szCs w:val="21"/>
        </w:rPr>
        <w:t>亓贝尔, Andreas Krenmayr, 董瑞娟, 等, 听力正常人噪声下汉语普通话声调识别成绩-强度函数的研究, 中国耳鼻咽喉头颈外科, 2016, 23(01):4-7. DOI:10.16066/j.1672-7002.2016.01.002.</w:t>
      </w:r>
    </w:p>
    <w:p w14:paraId="1CB7AE49">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[8]</w:t>
      </w:r>
      <w:r>
        <w:rPr>
          <w:rFonts w:hint="eastAsia" w:ascii="宋体" w:hAnsi="宋体" w:eastAsia="宋体"/>
          <w:sz w:val="21"/>
          <w:szCs w:val="21"/>
        </w:rPr>
        <w:tab/>
      </w:r>
      <w:r>
        <w:rPr>
          <w:rFonts w:hint="eastAsia" w:ascii="宋体" w:hAnsi="宋体" w:eastAsia="宋体"/>
          <w:sz w:val="21"/>
          <w:szCs w:val="21"/>
        </w:rPr>
        <w:t>张学民, 何莉, 舒华, 国外心理学实验技术的发展趋势与国内实验室建设的思考与实践, 中国现代教育装备, 2007, (02):94-97.</w:t>
      </w:r>
    </w:p>
    <w:p w14:paraId="4F670F39">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[9]</w:t>
      </w:r>
      <w:r>
        <w:rPr>
          <w:rFonts w:hint="eastAsia" w:ascii="宋体" w:hAnsi="宋体" w:eastAsia="宋体"/>
          <w:sz w:val="21"/>
          <w:szCs w:val="21"/>
        </w:rPr>
        <w:tab/>
      </w:r>
      <w:r>
        <w:rPr>
          <w:rFonts w:hint="eastAsia" w:ascii="宋体" w:hAnsi="宋体" w:eastAsia="宋体"/>
          <w:sz w:val="21"/>
          <w:szCs w:val="21"/>
        </w:rPr>
        <w:t>Shao, J., Zhang, C., Peng, G., Yang, Y., and Wang, W. S. Y., Effect of noise on lexical tone perception in Cantonese-speaking amusics, Interspeech, 2016, pp. 272–276, doi: 10.21437/Interspeech.2016-891.</w:t>
      </w:r>
    </w:p>
    <w:p w14:paraId="7BA7FF3F">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[10]Kristoffersen, M. S., Møller, M. B., Martínez-Nuevo, P., and Østergaard, J., Deep Sound Field Reconstruction in Real Rooms: Introducing the ISOBEL Sound Field Dataset, arXiv:2102.06455, Feb. 12, 2021, doi: 10.48550/arXiv.2102.06455.</w:t>
      </w:r>
    </w:p>
    <w:p w14:paraId="7E9FF739">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[11]陈晴晴, 基于口语教材的中级汉语学习者的言语行为研究, 海南师范大学, 2024.</w:t>
      </w:r>
    </w:p>
    <w:p w14:paraId="45A91E3D">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[12]崔四行, 汉语普通话上声变调的韵律动因和语体机制研究, 华中师范大学学报(人文社会科学版), 2025, (02).</w:t>
      </w:r>
    </w:p>
    <w:p w14:paraId="34E085B8">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[13]郑梅, 曹文, 普通话阴平单音节句语调实验研究——汉语声调和语调关系的再考察, 汉语学习, 2018, (02).</w:t>
      </w:r>
    </w:p>
    <w:p w14:paraId="05C8EA4B">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[14]李建文, 王咿卜, 函数拟合实现带声调的语音合成, 计算机应用与软件, vol. 39, no. 9, pp. 193–200, 2022.</w:t>
      </w:r>
    </w:p>
    <w:p w14:paraId="38CDAE73">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[15]Categorical data analysis: Away from ANOVAs (transformation or not) and towards logit mixed models, J. Mem. Lang., vol. 59, no. 4, pp. 434–446, Nov. 2008, doi: 10.1016/j.jml.2007.11.007.</w:t>
      </w:r>
    </w:p>
    <w:p w14:paraId="26FA3BB2">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[16]Logistic regression modelling for first and second language perception data, Accessed: Apr. 15, 2025. [Online]. Available: https://www.degruyterbrill.com/document/doi/10.1075/cilt.282.15mor/html.</w:t>
      </w:r>
    </w:p>
    <w:p w14:paraId="6D5B1F6D">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[17]Wang, Y., Yang, X., Ding, H., Xu, C., and Liu, C., Aging Effects on Categorical Perception of Mandarin Lexical Tones in Noise, J. Speech Lang. Hear. Res., vol. 64, no. 4, pp. 1376–1389, Apr. 2021, doi: 10.1044/2020_JSLHR-20-00509.</w:t>
      </w:r>
    </w:p>
    <w:p w14:paraId="7814523F">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[18]Oxenham, A. J., Plack, C. J., Suppression and the upward spread of masking, J. Acoust. Soc. Am., vol. 104, pp. 3500–3510, 1998, doi: 10.1121/1.423933.</w:t>
      </w:r>
    </w:p>
    <w:p w14:paraId="0871BDC5">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[19]Yost, W. A., Spatial release from masking based on binaural processing for up to six maskers, J. Acoust. Soc. Am., vol. 141, no. 3, pp. 2093–2106, Mar. 2017, doi: 10.1121/1.4978614.</w:t>
      </w:r>
    </w:p>
    <w:p w14:paraId="08636BFE">
      <w:pPr>
        <w:spacing w:before="156" w:beforeLines="50" w:after="120" w:line="240" w:lineRule="auto"/>
        <w:ind w:firstLine="420" w:firstLineChars="200"/>
        <w:rPr>
          <w:rFonts w:hint="eastAsia" w:ascii="宋体" w:hAnsi="宋体" w:eastAsia="宋体"/>
          <w:sz w:val="21"/>
          <w:szCs w:val="21"/>
        </w:rPr>
      </w:pPr>
      <w:r>
        <w:rPr>
          <w:rFonts w:hint="eastAsia" w:ascii="宋体" w:hAnsi="宋体" w:eastAsia="宋体"/>
          <w:sz w:val="21"/>
          <w:szCs w:val="21"/>
        </w:rPr>
        <w:t>[20]王岩, 陈克安, 玉昊昕, 等, 圆柱腔低频声场的球谐函数分解及声场再现, 声学学报, vol. 43, no. 4, pp. 719–727, 2018.</w:t>
      </w:r>
    </w:p>
    <w:p w14:paraId="127A1FA0">
      <w:pPr>
        <w:spacing w:line="240" w:lineRule="auto"/>
        <w:rPr>
          <w:rFonts w:hint="eastAsia" w:ascii="宋体" w:hAnsi="宋体" w:eastAsia="宋体"/>
          <w:sz w:val="21"/>
          <w:szCs w:val="21"/>
        </w:rPr>
      </w:pPr>
    </w:p>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roman"/>
    <w:pitch w:val="default"/>
    <w:sig w:usb0="00000000" w:usb1="00000000" w:usb2="0000003F" w:usb3="00000000" w:csb0="603F01FF" w:csb1="FFFF0000"/>
  </w:font>
  <w:font w:name="PingFang HK Regular">
    <w:altName w:val="Microsoft JhengHei UI Light"/>
    <w:panose1 w:val="020B0400000000000000"/>
    <w:charset w:val="88"/>
    <w:family w:val="roman"/>
    <w:pitch w:val="default"/>
    <w:sig w:usb0="00000000" w:usb1="00000000" w:usb2="00000017" w:usb3="00000000" w:csb0="00100001" w:csb1="00000000"/>
  </w:font>
  <w:font w:name="Microsoft JhengHei UI Light">
    <w:panose1 w:val="020B0304030504040204"/>
    <w:charset w:val="88"/>
    <w:family w:val="auto"/>
    <w:pitch w:val="default"/>
    <w:sig w:usb0="800002A7" w:usb1="28CF4400" w:usb2="00000016" w:usb3="00000000" w:csb0="00100009"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B78C6">
    <w:pPr>
      <w:pStyle w:val="1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18093">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p>
  </w:footnote>
  <w:footnote w:type="continuationSeparator" w:id="1">
    <w:p>
      <w:pPr>
        <w:spacing w:before="0" w:after="0" w:line="278"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3BFB5">
    <w:pPr>
      <w:keepNext w:val="0"/>
      <w:keepLines w:val="0"/>
      <w:widowControl w:val="0"/>
      <w:suppressLineNumbers w:val="0"/>
      <w:adjustRightInd w:val="0"/>
      <w:spacing w:before="0" w:beforeAutospacing="0" w:after="0" w:afterAutospacing="0" w:line="312" w:lineRule="atLeast"/>
      <w:ind w:left="0" w:right="0"/>
      <w:jc w:val="both"/>
      <w:rPr>
        <w:lang w:val="en-US"/>
      </w:rPr>
    </w:pPr>
    <w:r>
      <w:rPr>
        <w:rFonts w:hint="default" w:ascii="Arial" w:hAnsi="Arial" w:eastAsia="楷体_GB2312" w:cs="Times New Roman"/>
        <w:kern w:val="0"/>
        <w:sz w:val="32"/>
        <w:szCs w:val="20"/>
        <w:lang w:val="en-US" w:eastAsia="zh-CN" w:bidi="ar"/>
        <w14:ligatures w14:val="standardContextual"/>
      </w:rPr>
      <w:t xml:space="preserve">                            </w:t>
    </w:r>
  </w:p>
  <w:p w14:paraId="2D752090">
    <w:pPr>
      <w:pStyle w:val="16"/>
      <w:keepNext w:val="0"/>
      <w:keepLines w:val="0"/>
      <w:widowControl w:val="0"/>
      <w:suppressLineNumbers w:val="0"/>
      <w:pBdr>
        <w:top w:val="none" w:color="auto" w:sz="0" w:space="0"/>
        <w:left w:val="none" w:color="auto" w:sz="0" w:space="0"/>
        <w:bottom w:val="single" w:color="auto" w:sz="6" w:space="1"/>
        <w:right w:val="none" w:color="auto" w:sz="0" w:space="0"/>
      </w:pBdr>
      <w:tabs>
        <w:tab w:val="center" w:pos="4153"/>
        <w:tab w:val="right" w:pos="8306"/>
      </w:tabs>
      <w:adjustRightInd w:val="0"/>
      <w:snapToGrid w:val="0"/>
      <w:spacing w:before="0" w:beforeAutospacing="0" w:after="0" w:afterAutospacing="0" w:line="240" w:lineRule="atLeast"/>
      <w:ind w:left="0" w:right="0"/>
      <w:jc w:val="left"/>
      <w:rPr>
        <w:lang w:val="en-US"/>
      </w:rPr>
    </w:pPr>
    <w:r>
      <w:rPr>
        <w:rFonts w:ascii="Arial" w:hAnsi="Arial" w:eastAsia="楷体_GB2312" w:cs="Times New Roman"/>
        <w:kern w:val="0"/>
        <w:sz w:val="18"/>
        <w:szCs w:val="18"/>
        <w:lang w:val="en-US" w:eastAsia="zh-CN" w:bidi="ar"/>
      </w:rPr>
      <w:drawing>
        <wp:inline distT="0" distB="0" distL="114300" distR="114300">
          <wp:extent cx="1129030" cy="300355"/>
          <wp:effectExtent l="0" t="0" r="4445" b="4445"/>
          <wp:docPr id="1" name="图片 1" descr="红色系校徽展开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红色系校徽展开式"/>
                  <pic:cNvPicPr>
                    <a:picLocks noChangeAspect="1"/>
                  </pic:cNvPicPr>
                </pic:nvPicPr>
                <pic:blipFill>
                  <a:blip r:embed="rId1"/>
                  <a:stretch>
                    <a:fillRect/>
                  </a:stretch>
                </pic:blipFill>
                <pic:spPr>
                  <a:xfrm>
                    <a:off x="0" y="0"/>
                    <a:ext cx="1129030" cy="300355"/>
                  </a:xfrm>
                  <a:prstGeom prst="rect">
                    <a:avLst/>
                  </a:prstGeom>
                  <a:noFill/>
                  <a:ln>
                    <a:noFill/>
                  </a:ln>
                </pic:spPr>
              </pic:pic>
            </a:graphicData>
          </a:graphic>
        </wp:inline>
      </w:drawing>
    </w:r>
    <w:r>
      <w:rPr>
        <w:rFonts w:ascii="Arial" w:hAnsi="Arial" w:eastAsia="楷体_GB2312" w:cs="Times New Roman"/>
        <w:kern w:val="0"/>
        <w:sz w:val="18"/>
        <w:szCs w:val="18"/>
        <w:lang w:val="en-US" w:eastAsia="zh-CN" w:bidi="ar"/>
      </w:rPr>
      <w:t xml:space="preserve">                                      </w:t>
    </w:r>
    <w:r>
      <w:rPr>
        <w:rFonts w:hint="eastAsia" w:ascii="Arial" w:hAnsi="Arial" w:eastAsia="楷体_GB2312" w:cs="楷体_GB2312"/>
        <w:kern w:val="0"/>
        <w:sz w:val="18"/>
        <w:szCs w:val="18"/>
        <w:lang w:val="en-US" w:eastAsia="zh-CN" w:bidi="ar"/>
      </w:rPr>
      <w:t>创新实践课程</w:t>
    </w:r>
    <w:r>
      <w:rPr>
        <w:rFonts w:hint="eastAsia" w:ascii="楷体_GB2312" w:hAnsi="Times New Roman" w:eastAsia="楷体_GB2312" w:cs="楷体_GB2312"/>
        <w:kern w:val="0"/>
        <w:sz w:val="18"/>
        <w:szCs w:val="20"/>
        <w:lang w:val="en-US" w:eastAsia="zh-CN" w:bidi="ar"/>
      </w:rPr>
      <w:t>论文</w:t>
    </w:r>
  </w:p>
  <w:p w14:paraId="24D60A13">
    <w:pPr>
      <w:keepNext w:val="0"/>
      <w:keepLines w:val="0"/>
      <w:widowControl w:val="0"/>
      <w:suppressLineNumbers w:val="0"/>
      <w:adjustRightInd w:val="0"/>
      <w:spacing w:before="0" w:beforeAutospacing="0" w:after="0" w:afterAutospacing="0" w:line="312" w:lineRule="atLeast"/>
      <w:ind w:left="0" w:right="0"/>
      <w:jc w:val="both"/>
      <w:rPr>
        <w:lang w:val="en-US"/>
      </w:rPr>
    </w:pPr>
  </w:p>
  <w:p w14:paraId="0A3A773A">
    <w:pPr>
      <w:pStyle w:val="13"/>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7B7F1">
    <w:pPr>
      <w:pStyle w:val="13"/>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AD94C">
    <w:pPr>
      <w:pStyle w:val="1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11A17"/>
    <w:multiLevelType w:val="singleLevel"/>
    <w:tmpl w:val="6CA11A17"/>
    <w:lvl w:ilvl="0" w:tentative="0">
      <w:start w:val="1"/>
      <w:numFmt w:val="decimal"/>
      <w:suff w:val="space"/>
      <w:lvlText w:val="%1."/>
      <w:lvlJc w:val="left"/>
    </w:lvl>
  </w:abstractNum>
  <w:abstractNum w:abstractNumId="1">
    <w:nsid w:val="7F5C9FF4"/>
    <w:multiLevelType w:val="singleLevel"/>
    <w:tmpl w:val="7F5C9FF4"/>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0F7"/>
    <w:rsid w:val="00023180"/>
    <w:rsid w:val="00026F60"/>
    <w:rsid w:val="000377D0"/>
    <w:rsid w:val="000705AC"/>
    <w:rsid w:val="0009064B"/>
    <w:rsid w:val="00090BF5"/>
    <w:rsid w:val="000B0540"/>
    <w:rsid w:val="0010056E"/>
    <w:rsid w:val="001162E9"/>
    <w:rsid w:val="0014681B"/>
    <w:rsid w:val="0015061C"/>
    <w:rsid w:val="0015650D"/>
    <w:rsid w:val="001569C7"/>
    <w:rsid w:val="0016484A"/>
    <w:rsid w:val="00177E01"/>
    <w:rsid w:val="001A0EE8"/>
    <w:rsid w:val="001A339A"/>
    <w:rsid w:val="001A66A3"/>
    <w:rsid w:val="001C7E7C"/>
    <w:rsid w:val="002300B2"/>
    <w:rsid w:val="002479E5"/>
    <w:rsid w:val="00255C0B"/>
    <w:rsid w:val="0027303F"/>
    <w:rsid w:val="002967AA"/>
    <w:rsid w:val="002C1714"/>
    <w:rsid w:val="002D6DBF"/>
    <w:rsid w:val="00306670"/>
    <w:rsid w:val="00323785"/>
    <w:rsid w:val="00324425"/>
    <w:rsid w:val="0033618C"/>
    <w:rsid w:val="003429A5"/>
    <w:rsid w:val="003454F7"/>
    <w:rsid w:val="003645EC"/>
    <w:rsid w:val="0039183D"/>
    <w:rsid w:val="003A3A3B"/>
    <w:rsid w:val="003A58F7"/>
    <w:rsid w:val="003E0EA2"/>
    <w:rsid w:val="00427FF1"/>
    <w:rsid w:val="00463700"/>
    <w:rsid w:val="004A0DB2"/>
    <w:rsid w:val="00510FBC"/>
    <w:rsid w:val="00526073"/>
    <w:rsid w:val="00531B27"/>
    <w:rsid w:val="00552482"/>
    <w:rsid w:val="00574A9F"/>
    <w:rsid w:val="00582654"/>
    <w:rsid w:val="00593A95"/>
    <w:rsid w:val="005B4436"/>
    <w:rsid w:val="005B55A4"/>
    <w:rsid w:val="005C3237"/>
    <w:rsid w:val="005C759C"/>
    <w:rsid w:val="00615C96"/>
    <w:rsid w:val="0062423F"/>
    <w:rsid w:val="00635722"/>
    <w:rsid w:val="00641AE9"/>
    <w:rsid w:val="00645426"/>
    <w:rsid w:val="00647AD3"/>
    <w:rsid w:val="00650A07"/>
    <w:rsid w:val="00651487"/>
    <w:rsid w:val="00674998"/>
    <w:rsid w:val="006A2680"/>
    <w:rsid w:val="006A3E5F"/>
    <w:rsid w:val="006B1B17"/>
    <w:rsid w:val="006E1625"/>
    <w:rsid w:val="006E5185"/>
    <w:rsid w:val="006F7B4A"/>
    <w:rsid w:val="00715FEA"/>
    <w:rsid w:val="00742CBE"/>
    <w:rsid w:val="00746838"/>
    <w:rsid w:val="007755DA"/>
    <w:rsid w:val="00783F54"/>
    <w:rsid w:val="007857DE"/>
    <w:rsid w:val="007921EA"/>
    <w:rsid w:val="0079532A"/>
    <w:rsid w:val="007A255C"/>
    <w:rsid w:val="007C17B2"/>
    <w:rsid w:val="008314DB"/>
    <w:rsid w:val="00841E24"/>
    <w:rsid w:val="00841E43"/>
    <w:rsid w:val="008578A6"/>
    <w:rsid w:val="00861922"/>
    <w:rsid w:val="008A0EFD"/>
    <w:rsid w:val="008B1958"/>
    <w:rsid w:val="008D0EF1"/>
    <w:rsid w:val="008D4000"/>
    <w:rsid w:val="008E20F2"/>
    <w:rsid w:val="008F068F"/>
    <w:rsid w:val="008F3342"/>
    <w:rsid w:val="00901ABB"/>
    <w:rsid w:val="00927E4B"/>
    <w:rsid w:val="009334DD"/>
    <w:rsid w:val="00940F1B"/>
    <w:rsid w:val="009710F6"/>
    <w:rsid w:val="009D534B"/>
    <w:rsid w:val="009E66EB"/>
    <w:rsid w:val="009F2B0D"/>
    <w:rsid w:val="00A425A1"/>
    <w:rsid w:val="00A7522F"/>
    <w:rsid w:val="00A77456"/>
    <w:rsid w:val="00A82A77"/>
    <w:rsid w:val="00A90BA0"/>
    <w:rsid w:val="00AA796C"/>
    <w:rsid w:val="00AC1C16"/>
    <w:rsid w:val="00AD1675"/>
    <w:rsid w:val="00AE3AD3"/>
    <w:rsid w:val="00AF30F7"/>
    <w:rsid w:val="00B322AC"/>
    <w:rsid w:val="00B35A4D"/>
    <w:rsid w:val="00B36ACC"/>
    <w:rsid w:val="00B53DA6"/>
    <w:rsid w:val="00B54387"/>
    <w:rsid w:val="00B56C70"/>
    <w:rsid w:val="00B66366"/>
    <w:rsid w:val="00B76744"/>
    <w:rsid w:val="00B85C7B"/>
    <w:rsid w:val="00BF571F"/>
    <w:rsid w:val="00C03CB0"/>
    <w:rsid w:val="00C17410"/>
    <w:rsid w:val="00C17EBC"/>
    <w:rsid w:val="00C84AB5"/>
    <w:rsid w:val="00CD43EC"/>
    <w:rsid w:val="00D10957"/>
    <w:rsid w:val="00D27C25"/>
    <w:rsid w:val="00D33024"/>
    <w:rsid w:val="00D34D1B"/>
    <w:rsid w:val="00D42FD6"/>
    <w:rsid w:val="00D4385D"/>
    <w:rsid w:val="00D45AC5"/>
    <w:rsid w:val="00D53933"/>
    <w:rsid w:val="00D56C71"/>
    <w:rsid w:val="00D573B1"/>
    <w:rsid w:val="00D71052"/>
    <w:rsid w:val="00D83005"/>
    <w:rsid w:val="00D87DFC"/>
    <w:rsid w:val="00D97EE8"/>
    <w:rsid w:val="00DB68FE"/>
    <w:rsid w:val="00DC13B2"/>
    <w:rsid w:val="00DC7D95"/>
    <w:rsid w:val="00DF520F"/>
    <w:rsid w:val="00E34535"/>
    <w:rsid w:val="00E95D03"/>
    <w:rsid w:val="00EC0E60"/>
    <w:rsid w:val="00EE489A"/>
    <w:rsid w:val="00F167B7"/>
    <w:rsid w:val="00F1740C"/>
    <w:rsid w:val="00F35A0C"/>
    <w:rsid w:val="00F41E58"/>
    <w:rsid w:val="00F43B52"/>
    <w:rsid w:val="00F97AB3"/>
    <w:rsid w:val="00F97DD1"/>
    <w:rsid w:val="00FC081C"/>
    <w:rsid w:val="00FC58AC"/>
    <w:rsid w:val="16852B60"/>
    <w:rsid w:val="33872647"/>
    <w:rsid w:val="F7DF7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6"/>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unhideWhenUsed/>
    <w:qFormat/>
    <w:uiPriority w:val="1"/>
  </w:style>
  <w:style w:type="table" w:default="1" w:styleId="18">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Plain Text"/>
    <w:basedOn w:val="1"/>
    <w:link w:val="39"/>
    <w:semiHidden/>
    <w:qFormat/>
    <w:uiPriority w:val="0"/>
    <w:pPr>
      <w:widowControl/>
      <w:spacing w:before="100" w:beforeAutospacing="1" w:after="100" w:afterAutospacing="1" w:line="240" w:lineRule="auto"/>
    </w:pPr>
    <w:rPr>
      <w:rFonts w:ascii="宋体" w:hAnsi="宋体" w:eastAsia="宋体" w:cs="Times New Roman"/>
      <w:kern w:val="0"/>
      <w:sz w:val="24"/>
      <w14:ligatures w14:val="none"/>
    </w:rPr>
  </w:style>
  <w:style w:type="paragraph" w:styleId="12">
    <w:name w:val="footer"/>
    <w:basedOn w:val="1"/>
    <w:link w:val="41"/>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footnote text"/>
    <w:basedOn w:val="1"/>
    <w:link w:val="45"/>
    <w:semiHidden/>
    <w:unhideWhenUsed/>
    <w:qFormat/>
    <w:uiPriority w:val="99"/>
    <w:pPr>
      <w:snapToGrid w:val="0"/>
    </w:pPr>
    <w:rPr>
      <w:sz w:val="18"/>
      <w:szCs w:val="18"/>
    </w:rPr>
  </w:style>
  <w:style w:type="paragraph" w:styleId="16">
    <w:name w:val="Normal (Web)"/>
    <w:basedOn w:val="1"/>
    <w:semiHidden/>
    <w:unhideWhenUsed/>
    <w:qFormat/>
    <w:uiPriority w:val="99"/>
    <w:rPr>
      <w:sz w:val="24"/>
    </w:rPr>
  </w:style>
  <w:style w:type="paragraph" w:styleId="17">
    <w:name w:val="Title"/>
    <w:basedOn w:val="1"/>
    <w:next w:val="1"/>
    <w:link w:val="30"/>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20">
    <w:name w:val="footnote reference"/>
    <w:basedOn w:val="19"/>
    <w:semiHidden/>
    <w:unhideWhenUsed/>
    <w:qFormat/>
    <w:uiPriority w:val="99"/>
    <w:rPr>
      <w:vertAlign w:val="superscript"/>
    </w:rPr>
  </w:style>
  <w:style w:type="character" w:customStyle="1" w:styleId="21">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9"/>
    <w:link w:val="5"/>
    <w:semiHidden/>
    <w:uiPriority w:val="9"/>
    <w:rPr>
      <w:rFonts w:cstheme="majorBidi"/>
      <w:color w:val="104862" w:themeColor="accent1" w:themeShade="BF"/>
      <w:sz w:val="28"/>
      <w:szCs w:val="28"/>
    </w:rPr>
  </w:style>
  <w:style w:type="character" w:customStyle="1" w:styleId="25">
    <w:name w:val="标题 5 字符"/>
    <w:basedOn w:val="19"/>
    <w:link w:val="6"/>
    <w:semiHidden/>
    <w:qFormat/>
    <w:uiPriority w:val="9"/>
    <w:rPr>
      <w:rFonts w:cstheme="majorBidi"/>
      <w:color w:val="104862" w:themeColor="accent1" w:themeShade="BF"/>
      <w:sz w:val="24"/>
    </w:rPr>
  </w:style>
  <w:style w:type="character" w:customStyle="1" w:styleId="26">
    <w:name w:val="标题 6 字符"/>
    <w:basedOn w:val="19"/>
    <w:link w:val="7"/>
    <w:semiHidden/>
    <w:uiPriority w:val="9"/>
    <w:rPr>
      <w:rFonts w:cstheme="majorBidi"/>
      <w:b/>
      <w:bCs/>
      <w:color w:val="104862" w:themeColor="accent1" w:themeShade="BF"/>
    </w:rPr>
  </w:style>
  <w:style w:type="character" w:customStyle="1" w:styleId="27">
    <w:name w:val="标题 7 字符"/>
    <w:basedOn w:val="19"/>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9"/>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9"/>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9"/>
    <w:link w:val="17"/>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9"/>
    <w:link w:val="32"/>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9"/>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19"/>
    <w:link w:val="36"/>
    <w:uiPriority w:val="30"/>
    <w:rPr>
      <w:i/>
      <w:iCs/>
      <w:color w:val="104862" w:themeColor="accent1" w:themeShade="BF"/>
    </w:rPr>
  </w:style>
  <w:style w:type="character" w:customStyle="1" w:styleId="38">
    <w:name w:val="Intense Reference"/>
    <w:basedOn w:val="19"/>
    <w:qFormat/>
    <w:uiPriority w:val="32"/>
    <w:rPr>
      <w:b/>
      <w:bCs/>
      <w:smallCaps/>
      <w:color w:val="104862" w:themeColor="accent1" w:themeShade="BF"/>
      <w:spacing w:val="5"/>
    </w:rPr>
  </w:style>
  <w:style w:type="character" w:customStyle="1" w:styleId="39">
    <w:name w:val="纯文本 字符"/>
    <w:basedOn w:val="19"/>
    <w:link w:val="11"/>
    <w:semiHidden/>
    <w:uiPriority w:val="0"/>
    <w:rPr>
      <w:rFonts w:ascii="宋体" w:hAnsi="宋体" w:eastAsia="宋体" w:cs="Times New Roman"/>
      <w:kern w:val="0"/>
      <w:sz w:val="24"/>
      <w14:ligatures w14:val="none"/>
    </w:rPr>
  </w:style>
  <w:style w:type="character" w:customStyle="1" w:styleId="40">
    <w:name w:val="页眉 字符"/>
    <w:basedOn w:val="19"/>
    <w:link w:val="13"/>
    <w:uiPriority w:val="99"/>
    <w:rPr>
      <w:sz w:val="18"/>
      <w:szCs w:val="18"/>
    </w:rPr>
  </w:style>
  <w:style w:type="character" w:customStyle="1" w:styleId="41">
    <w:name w:val="页脚 字符"/>
    <w:basedOn w:val="19"/>
    <w:link w:val="12"/>
    <w:uiPriority w:val="99"/>
    <w:rPr>
      <w:sz w:val="18"/>
      <w:szCs w:val="18"/>
    </w:rPr>
  </w:style>
  <w:style w:type="paragraph" w:customStyle="1" w:styleId="42">
    <w:name w:val="內文1"/>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hint="eastAsia" w:ascii="Arial Unicode MS" w:hAnsi="Arial Unicode MS" w:eastAsia="PingFang HK Regular" w:cs="Arial Unicode MS"/>
      <w:color w:val="000000"/>
      <w:kern w:val="0"/>
      <w:sz w:val="22"/>
      <w:szCs w:val="22"/>
      <w:lang w:val="zh-CN" w:eastAsia="zh-CN" w:bidi="ar-SA"/>
      <w14:ligatures w14:val="none"/>
    </w:rPr>
  </w:style>
  <w:style w:type="paragraph" w:customStyle="1" w:styleId="43">
    <w:name w:val="註腳"/>
    <w:qForma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PingFang HK Regular" w:hAnsi="PingFang HK Regular" w:eastAsia="PingFang HK Regular" w:cs="PingFang HK Regular"/>
      <w:color w:val="000000"/>
      <w:kern w:val="0"/>
      <w:sz w:val="22"/>
      <w:szCs w:val="22"/>
      <w:lang w:val="en-US" w:eastAsia="zh-CN" w:bidi="ar-SA"/>
      <w14:ligatures w14:val="none"/>
    </w:rPr>
  </w:style>
  <w:style w:type="paragraph" w:customStyle="1" w:styleId="44">
    <w:name w:val="Bibliography"/>
    <w:basedOn w:val="1"/>
    <w:next w:val="1"/>
    <w:unhideWhenUsed/>
    <w:qFormat/>
    <w:uiPriority w:val="37"/>
  </w:style>
  <w:style w:type="character" w:customStyle="1" w:styleId="45">
    <w:name w:val="脚注文本 字符"/>
    <w:basedOn w:val="19"/>
    <w:link w:val="15"/>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03F0A422-EE23-4231-A49A-982E9E4E8EF8}">
  <ds:schemaRefs/>
</ds:datastoreItem>
</file>

<file path=docProps/app.xml><?xml version="1.0" encoding="utf-8"?>
<Properties xmlns="http://schemas.openxmlformats.org/officeDocument/2006/extended-properties" xmlns:vt="http://schemas.openxmlformats.org/officeDocument/2006/docPropsVTypes">
  <Template>Normal</Template>
  <Pages>13</Pages>
  <Words>6677</Words>
  <Characters>8549</Characters>
  <Lines>563</Lines>
  <Paragraphs>319</Paragraphs>
  <TotalTime>152</TotalTime>
  <ScaleCrop>false</ScaleCrop>
  <LinksUpToDate>false</LinksUpToDate>
  <CharactersWithSpaces>9023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2025-04-14T22:15:00Z</dcterms:created>
  <dc:creator>周荃 卢</dc:creator>
  <cp:lastModifiedBy>Weil  du</cp:lastModifiedBy>
  <dcterms:modified xsi:type="dcterms:W3CDTF">2025-06-04T10:35:57Z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63a7ac190cf07cb1d6ca98674b42f528f8aaa7217a3ab230d901ab6e99dbe047</vt:lpwstr>
  </property>
  <property fmtid="{D5CDD505-2E9C-101B-9397-08002B2CF9AE}" pid="3" name="ZOTERO_PREF_1">
    <vt:lpwstr>&lt;data data-version="3" zotero-version="6.0.36"&gt;&lt;session id="dAzdksOO"/&gt;&lt;style id="http://www.zotero.org/styles/ieee" locale="en-US"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y fmtid="{D5CDD505-2E9C-101B-9397-08002B2CF9AE}" pid="5" name="KSOProductBuildVer">
    <vt:lpwstr>2052-12.1.0.21171</vt:lpwstr>
  </property>
  <property fmtid="{D5CDD505-2E9C-101B-9397-08002B2CF9AE}" pid="6" name="ICV">
    <vt:lpwstr>82270DE96C9E7063B51FFE67F054A542_42</vt:lpwstr>
  </property>
  <property fmtid="{D5CDD505-2E9C-101B-9397-08002B2CF9AE}" pid="7" name="KSOTemplateDocerSaveRecord">
    <vt:lpwstr>eyJoZGlkIjoiNWE1OTBhMzIxNjA4MTc0ODlhNWQxNTYyYWNiYTAwOGEiLCJ1c2VySWQiOiI2MDI1NDk3NjgifQ==</vt:lpwstr>
  </property>
</Properties>
</file>